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00" w:rsidRPr="00525200" w:rsidRDefault="00525200" w:rsidP="00525200">
      <w:pPr>
        <w:jc w:val="center"/>
        <w:rPr>
          <w:rFonts w:ascii="Times New Roman" w:hAnsi="Times New Roman" w:cs="Times New Roman"/>
          <w:b/>
          <w:sz w:val="24"/>
          <w:szCs w:val="24"/>
        </w:rPr>
      </w:pPr>
      <w:r w:rsidRPr="00525200">
        <w:rPr>
          <w:rFonts w:ascii="Times New Roman" w:hAnsi="Times New Roman" w:cs="Times New Roman"/>
          <w:b/>
          <w:sz w:val="24"/>
          <w:szCs w:val="24"/>
        </w:rPr>
        <w:t>BẢNG CÂN ĐỐI KẾ TOÁN</w:t>
      </w:r>
    </w:p>
    <w:tbl>
      <w:tblPr>
        <w:tblW w:w="9729" w:type="dxa"/>
        <w:tblInd w:w="93" w:type="dxa"/>
        <w:tblLook w:val="04A0" w:firstRow="1" w:lastRow="0" w:firstColumn="1" w:lastColumn="0" w:noHBand="0" w:noVBand="1"/>
      </w:tblPr>
      <w:tblGrid>
        <w:gridCol w:w="4693"/>
        <w:gridCol w:w="709"/>
        <w:gridCol w:w="960"/>
        <w:gridCol w:w="1588"/>
        <w:gridCol w:w="1779"/>
      </w:tblGrid>
      <w:tr w:rsidR="00525200" w:rsidRPr="00525200" w:rsidTr="00525200">
        <w:trPr>
          <w:trHeight w:val="24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Chỉ tiêu</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Mã chỉ tiêu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Thuyết minh</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Số cuối kỳ</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Số đầu năm</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A- TÀI SẢN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139.841.572.399</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67.338.299.121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Tiền và các khoản tương đương tiền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110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4.649.301.204</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1.955.871.839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Tiền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111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V.01</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4.649.301.204</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1.955.871.839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Các khoản tương đương tiền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112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Các khoản đầu tư tài chính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120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V.02</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Đầu tư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121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Dự phòng giảm giá đầu tư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129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III. Các khoản phải thu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130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84.926.956.286</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13.112.086.588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thu khách hàng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83.377.626.488</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11.895.872.075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Trả trước cho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1.512.082.838</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1.141.052.584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thu nội bộ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Phải thu theo tiến độ kế hoạch hợp đồng xây dựng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Các khoản phải thu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V.03</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102.246.960</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140.161.929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phòng phải thu ngắn hạn khó đòi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(65.000.000)</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(65.000.000)</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IV.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140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49.820.235.706</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50.839.747.591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141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V.04</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49.820.235.706</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50.839.747.591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Dự phòng giảm giá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149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V.Tài sản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150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445.079.203</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1.430.593.103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Chi phí trả trước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59.926.281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Thuế GTGT được khấu trừ</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802.348.961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Thuế và các khoản khác phải thu Nhà nước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V.05</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50.604.911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Tài sản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445.079.203</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517.712.950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xml:space="preserve">B. TÀI SẢN DÀI HẠN </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200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191.437.256.067</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187.124.810.375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Các khoản phải thu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210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thu dài hạn của khách hàng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Vốn kinh doanh ở đơn vị trực thuộc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thu dài hạn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V.06</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lastRenderedPageBreak/>
              <w:t>4. Phải thu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V.07</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Dự phòng các khoản phải thu dài hạn khó đòi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II.Tài sản cố định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185.898.053.592</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181.772.472.705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1. Tài sản cố định hữu hình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V.08</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151.247.519.662</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167.660.093.297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195.947.178.902</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207.155.361.791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44.701.659.240</w:t>
            </w:r>
            <w:r w:rsidRPr="00525200">
              <w:rPr>
                <w:rFonts w:ascii="Arial" w:eastAsia="Times New Roman" w:hAnsi="Arial" w:cs="Arial"/>
                <w:sz w:val="18"/>
                <w:szCs w:val="18"/>
              </w:rPr>
              <w:t>)</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(39.495.268.494)</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2. Tài sản cố định thuê tài chính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V.09</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226</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3. Tài sản cố định vô hình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227</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V.10</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13.605.445.072</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14.112.379.408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15.650.050.399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15.650.050.399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2.044.605.327</w:t>
            </w:r>
            <w:r w:rsidRPr="00525200">
              <w:rPr>
                <w:rFonts w:ascii="Arial" w:eastAsia="Times New Roman" w:hAnsi="Arial" w:cs="Arial"/>
                <w:sz w:val="18"/>
                <w:szCs w:val="18"/>
              </w:rPr>
              <w:t>)</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(1.537.670.991)</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Chi phí xây dựng cơ bản dở dang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230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V.11</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21.045.088.858</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III. Bất động sản đầu tư</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240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V.12</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241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242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IV. Các khoản đầu tư tài chính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250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2.530.000.000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2.530.000.000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Đầu tư vào công ty con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Đầu tư vào công ty liên kết, liên doanh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Đầu tư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V.13</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2.530.000.000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2.530.000.000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Dự phòng giảm giá đầu tư tài chính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V. Tài sản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260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3.009.202.475</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2.822.337.670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Chi phí trả trước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V.14</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3.009.202.475</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2.822.337.670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Tài sản thuế thu nhập hoàn lại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V.21</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Tài sản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VI. Lợi thế thương mại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TỔNG CỘNG 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270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331.278.828.466</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254.463.109.496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NGUỒN VỐN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A. NỢ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300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184.440.676.184</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145.196.526.040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Nợ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310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107.788.450.269</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69.062.206.157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lastRenderedPageBreak/>
              <w:t>1. Vay và nợ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V.15</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39.941.393.923</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19.917.377.141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Phải trả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39.118.880.120</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11.221.690.980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Người mua trả tiền trước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10.676.867.762</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10.911.909.380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Thuế và các khoản phải nộp nhà nước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V.16</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3.396.320.835</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2.043.120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Phải trả người lao động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2.746.867.645</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602.460.072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Chi phí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316</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V.17</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7. Phải trả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317</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8. Phải trả theo tiến độ kế hoạch hợp đồng xây dựng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Các khoản phải trả, phải nộp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V.18</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8.565.911.966</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22.489.535.446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10. Dự phòng phải trả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320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11. Quỹ khen thưởng phúc lợi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323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3.342.208.018</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3.917.190.018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Nợ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330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76.652.225.915</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76.134.319.883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trả dài hạn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Phải trả dài hạn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V.19</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trả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Vay và nợ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V.20</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76.652.225.915</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76.134.319.883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Thuế thu nhập hoãn lại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V.21</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phòng trợ cấp mất việc làm</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336</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7. Dự phòng phải trả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337</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8. Doanh thu chưa thực hiện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Quỹ phát triển khoa học và công nghệ</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B.VỐN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400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146.838.152.282</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109.266.583.456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410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V.22</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146.838.152.282</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109.266.583.456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Vốn đầu tư của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90.000.000.000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90.000.000.000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Thặng dư vốn cổ phần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4.913.000.000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4.913.000.000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Vốn khác của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Cổ phiếu quỹ</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Chênh lệch đánh giá lại 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Chênh lệch tỷ giá hối đoái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416</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7. Quỹ đầu tư phát triển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417</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18.696.464.964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18.696.464.964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lastRenderedPageBreak/>
              <w:t>8. Quỹ dự phòng tài chính</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418</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4.048.283.610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4.048.283.610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Quỹ khác thuộc 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10. Lợi nhuận sau thuế chưa phân phối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00E02C48">
              <w:rPr>
                <w:rFonts w:ascii="Arial" w:eastAsia="Times New Roman" w:hAnsi="Arial" w:cs="Arial"/>
                <w:sz w:val="18"/>
                <w:szCs w:val="18"/>
              </w:rPr>
              <w:t>29.180.403.708</w:t>
            </w:r>
            <w:r w:rsidRPr="00525200">
              <w:rPr>
                <w:rFonts w:ascii="Arial" w:eastAsia="Times New Roman" w:hAnsi="Arial" w:cs="Arial"/>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(8.391.165.118)</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11. Nguồn vốn đầu tư XDCB</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12. Quỹ hỗ trợ sắp xếp doanh nghiệp</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Nguồn kinh phí và quỹ khác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430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Nguồn kinh phí</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V.23</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Nguồn kinh phí đã hình thành TSCĐ</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C. LỢI ÍCH CỔ ĐÔNG THIỂU SỐ</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439</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TỔNG CỘNG NGUỒN VỐN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440</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E02C48">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r w:rsidR="00E02C48">
              <w:rPr>
                <w:rFonts w:ascii="Arial" w:eastAsia="Times New Roman" w:hAnsi="Arial" w:cs="Arial"/>
                <w:b/>
                <w:bCs/>
                <w:sz w:val="18"/>
                <w:szCs w:val="18"/>
              </w:rPr>
              <w:t>331.278.828.466</w:t>
            </w: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254.463.109.496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CÁC CHỈ TIÊU NGOÀI BẢNG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b/>
                <w:bCs/>
                <w:sz w:val="18"/>
                <w:szCs w:val="18"/>
              </w:rPr>
            </w:pPr>
            <w:r>
              <w:rPr>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Tài sản thuê ngoài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01</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V.24</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Vật tư, hàng hóa nhận giữ hộ, nhận gia công</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02</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Hàng hóa nhận bán hộ, nhận ký gửi, ký cược</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03</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Nợ khó đòi đã xử lý</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04</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Ngoại tệ các loại</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05</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304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304 </w:t>
            </w:r>
          </w:p>
        </w:tc>
      </w:tr>
      <w:tr w:rsidR="004A39B7"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toán chi sự nghiệp, dự án</w:t>
            </w:r>
          </w:p>
        </w:tc>
        <w:tc>
          <w:tcPr>
            <w:tcW w:w="70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06</w:t>
            </w:r>
          </w:p>
        </w:tc>
        <w:tc>
          <w:tcPr>
            <w:tcW w:w="960" w:type="dxa"/>
            <w:tcBorders>
              <w:top w:val="nil"/>
              <w:left w:val="nil"/>
              <w:bottom w:val="single" w:sz="4" w:space="0" w:color="000000"/>
              <w:right w:val="single" w:sz="4" w:space="0" w:color="000000"/>
            </w:tcBorders>
            <w:shd w:val="clear" w:color="auto" w:fill="auto"/>
            <w:noWrap/>
            <w:vAlign w:val="bottom"/>
            <w:hideMark/>
          </w:tcPr>
          <w:p w:rsidR="004A39B7" w:rsidRDefault="004A39B7">
            <w:pPr>
              <w:jc w:val="center"/>
              <w:rPr>
                <w:sz w:val="18"/>
                <w:szCs w:val="18"/>
              </w:rPr>
            </w:pPr>
            <w:r>
              <w:rPr>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4A39B7" w:rsidRPr="00525200" w:rsidRDefault="004A39B7"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bl>
    <w:tbl>
      <w:tblPr>
        <w:tblStyle w:val="TableGrid"/>
        <w:tblW w:w="1098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592"/>
        <w:gridCol w:w="4176"/>
      </w:tblGrid>
      <w:tr w:rsidR="00143F70" w:rsidRPr="00525200" w:rsidTr="00525200">
        <w:trPr>
          <w:trHeight w:val="2434"/>
          <w:jc w:val="center"/>
        </w:trPr>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B20333" w:rsidRPr="00525200" w:rsidRDefault="000D004E" w:rsidP="00D546F8">
            <w:pPr>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1914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hanh.JPG"/>
                          <pic:cNvPicPr/>
                        </pic:nvPicPr>
                        <pic:blipFill>
                          <a:blip r:embed="rId9">
                            <a:extLst>
                              <a:ext uri="{28A0092B-C50C-407E-A947-70E740481C1C}">
                                <a14:useLocalDpi xmlns:a14="http://schemas.microsoft.com/office/drawing/2010/main" val="0"/>
                              </a:ext>
                            </a:extLst>
                          </a:blip>
                          <a:stretch>
                            <a:fillRect/>
                          </a:stretch>
                        </pic:blipFill>
                        <pic:spPr>
                          <a:xfrm>
                            <a:off x="0" y="0"/>
                            <a:ext cx="1914525" cy="1143000"/>
                          </a:xfrm>
                          <a:prstGeom prst="rect">
                            <a:avLst/>
                          </a:prstGeom>
                        </pic:spPr>
                      </pic:pic>
                    </a:graphicData>
                  </a:graphic>
                </wp:inline>
              </w:drawing>
            </w:r>
          </w:p>
        </w:tc>
        <w:tc>
          <w:tcPr>
            <w:tcW w:w="3661" w:type="dxa"/>
          </w:tcPr>
          <w:p w:rsidR="00143F70" w:rsidRPr="00525200" w:rsidRDefault="00143F70" w:rsidP="002E04E2">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B20333" w:rsidRPr="00525200" w:rsidRDefault="000D004E" w:rsidP="002E04E2">
            <w:pPr>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250507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Mat.jpg"/>
                          <pic:cNvPicPr/>
                        </pic:nvPicPr>
                        <pic:blipFill>
                          <a:blip r:embed="rId10">
                            <a:extLst>
                              <a:ext uri="{28A0092B-C50C-407E-A947-70E740481C1C}">
                                <a14:useLocalDpi xmlns:a14="http://schemas.microsoft.com/office/drawing/2010/main" val="0"/>
                              </a:ext>
                            </a:extLst>
                          </a:blip>
                          <a:stretch>
                            <a:fillRect/>
                          </a:stretch>
                        </pic:blipFill>
                        <pic:spPr>
                          <a:xfrm>
                            <a:off x="0" y="0"/>
                            <a:ext cx="2505075" cy="1304925"/>
                          </a:xfrm>
                          <a:prstGeom prst="rect">
                            <a:avLst/>
                          </a:prstGeom>
                        </pic:spPr>
                      </pic:pic>
                    </a:graphicData>
                  </a:graphic>
                </wp:inline>
              </w:drawing>
            </w:r>
          </w:p>
        </w:tc>
      </w:tr>
      <w:tr w:rsidR="00143F70" w:rsidRPr="00525200" w:rsidTr="00525200">
        <w:trPr>
          <w:trHeight w:val="130"/>
          <w:jc w:val="center"/>
        </w:trPr>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661"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bookmarkStart w:id="0" w:name="_GoBack"/>
      <w:bookmarkEnd w:id="0"/>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KẾT QUẢ KINH DOANH</w:t>
      </w:r>
    </w:p>
    <w:tbl>
      <w:tblPr>
        <w:tblW w:w="10138" w:type="dxa"/>
        <w:tblInd w:w="-34" w:type="dxa"/>
        <w:tblLook w:val="04A0" w:firstRow="1" w:lastRow="0" w:firstColumn="1" w:lastColumn="0" w:noHBand="0" w:noVBand="1"/>
      </w:tblPr>
      <w:tblGrid>
        <w:gridCol w:w="3403"/>
        <w:gridCol w:w="537"/>
        <w:gridCol w:w="741"/>
        <w:gridCol w:w="1346"/>
        <w:gridCol w:w="1346"/>
        <w:gridCol w:w="1418"/>
        <w:gridCol w:w="1364"/>
      </w:tblGrid>
      <w:tr w:rsidR="00811D93" w:rsidRPr="00525200" w:rsidTr="00514AC0">
        <w:trPr>
          <w:trHeight w:val="973"/>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Chỉ tiêu</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Mã chỉ tiêu</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Thuyết minh</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Quý này năm nay</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Quý này năm trước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Số lũy kế từ đầu năm đến cuối quý này (Năm nay)</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Số lũy kế từ đầu năm đến cuối quý này (Năm trước)</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 Doanh thu bán hàng và cung cấp dịch vụ</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01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VI.18</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93.223.017.772</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9.737.570.876</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214.701.163.089</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67.362.282.575</w:t>
            </w:r>
            <w:r w:rsidRPr="00525200">
              <w:rPr>
                <w:rFonts w:ascii="Arial" w:eastAsia="Times New Roman" w:hAnsi="Arial" w:cs="Arial"/>
                <w:sz w:val="16"/>
                <w:szCs w:val="16"/>
              </w:rPr>
              <w:t xml:space="preserve"> </w:t>
            </w:r>
          </w:p>
        </w:tc>
      </w:tr>
      <w:tr w:rsidR="00514AC0" w:rsidRPr="00525200" w:rsidTr="00C3127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2. Các khoản giảm trừ doanh thu</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02</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VI.19</w:t>
            </w:r>
          </w:p>
        </w:tc>
        <w:tc>
          <w:tcPr>
            <w:tcW w:w="1346" w:type="dxa"/>
            <w:tcBorders>
              <w:top w:val="nil"/>
              <w:left w:val="nil"/>
              <w:bottom w:val="single" w:sz="4" w:space="0" w:color="000000"/>
              <w:right w:val="single" w:sz="4" w:space="0" w:color="000000"/>
            </w:tcBorders>
            <w:shd w:val="clear" w:color="auto" w:fill="auto"/>
            <w:noWrap/>
            <w:vAlign w:val="bottom"/>
          </w:tcPr>
          <w:p w:rsidR="00514AC0" w:rsidRPr="00525200" w:rsidRDefault="00514AC0" w:rsidP="00525200">
            <w:pPr>
              <w:spacing w:after="0" w:line="240" w:lineRule="auto"/>
              <w:jc w:val="right"/>
              <w:rPr>
                <w:rFonts w:ascii="Arial" w:eastAsia="Times New Roman" w:hAnsi="Arial" w:cs="Arial"/>
                <w:sz w:val="16"/>
                <w:szCs w:val="16"/>
              </w:rPr>
            </w:pP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1.442.172.366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241.884.407 </w:t>
            </w:r>
          </w:p>
        </w:tc>
      </w:tr>
      <w:tr w:rsidR="00514AC0" w:rsidRPr="00525200" w:rsidTr="00514AC0">
        <w:trPr>
          <w:trHeight w:val="45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3. Doanh thu thuần về bán hàng và cung cấp dịch vụ (10 = 01 - 02)</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10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VI.20</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C31270" w:rsidP="00525200">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93.223.017.772</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9.737.570.876</w:t>
            </w:r>
            <w:r w:rsidRPr="00525200">
              <w:rPr>
                <w:rFonts w:ascii="Arial" w:eastAsia="Times New Roman" w:hAnsi="Arial" w:cs="Arial"/>
                <w:b/>
                <w:bCs/>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213.258.990.723</w:t>
            </w:r>
            <w:r w:rsidRPr="00525200">
              <w:rPr>
                <w:rFonts w:ascii="Arial" w:eastAsia="Times New Roman" w:hAnsi="Arial" w:cs="Arial"/>
                <w:b/>
                <w:bCs/>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67.120.398.168</w:t>
            </w:r>
            <w:r w:rsidRPr="00525200">
              <w:rPr>
                <w:rFonts w:ascii="Arial" w:eastAsia="Times New Roman" w:hAnsi="Arial" w:cs="Arial"/>
                <w:b/>
                <w:bCs/>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4. Giá vốn hàng bán</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11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VI.21</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48.818.036.057</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7.600.541.487</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111.937.280.777</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50.851.586.109</w:t>
            </w:r>
            <w:r w:rsidRPr="00525200">
              <w:rPr>
                <w:rFonts w:ascii="Arial" w:eastAsia="Times New Roman" w:hAnsi="Arial" w:cs="Arial"/>
                <w:sz w:val="16"/>
                <w:szCs w:val="16"/>
              </w:rPr>
              <w:t xml:space="preserve"> </w:t>
            </w:r>
          </w:p>
        </w:tc>
      </w:tr>
      <w:tr w:rsidR="00514AC0" w:rsidRPr="00525200" w:rsidTr="00514AC0">
        <w:trPr>
          <w:trHeight w:val="409"/>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5. Lợi nhuận gộp về bán hàng và cung cấp dịch vụ(20=10-11)</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20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r>
              <w:rPr>
                <w:rFonts w:ascii="Arial" w:hAnsi="Arial" w:cs="Arial"/>
                <w:b/>
                <w:bCs/>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44.404.981.715</w:t>
            </w:r>
            <w:r w:rsidRPr="00525200">
              <w:rPr>
                <w:rFonts w:ascii="Arial" w:eastAsia="Times New Roman" w:hAnsi="Arial" w:cs="Arial"/>
                <w:b/>
                <w:bCs/>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2.137.029.389</w:t>
            </w:r>
            <w:r w:rsidRPr="00525200">
              <w:rPr>
                <w:rFonts w:ascii="Arial" w:eastAsia="Times New Roman" w:hAnsi="Arial" w:cs="Arial"/>
                <w:b/>
                <w:bCs/>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101.321.709.946</w:t>
            </w:r>
            <w:r w:rsidRPr="00525200">
              <w:rPr>
                <w:rFonts w:ascii="Arial" w:eastAsia="Times New Roman" w:hAnsi="Arial" w:cs="Arial"/>
                <w:b/>
                <w:bCs/>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16.268.812.059</w:t>
            </w:r>
            <w:r w:rsidRPr="00525200">
              <w:rPr>
                <w:rFonts w:ascii="Arial" w:eastAsia="Times New Roman" w:hAnsi="Arial" w:cs="Arial"/>
                <w:b/>
                <w:bCs/>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6. Doanh thu hoạt động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VI.22</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14.756.129</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37.656.985</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38.536.172</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73.817.987</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7. Chi phí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22</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VI.23</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3.119.447.510</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2.565.620.149</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10.623.467.130</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9.800.727.964</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 xml:space="preserve">  - Trong đó: Chi phí lãi vay</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23</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14.565.145.392</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2.565.620.149</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38.231.972.952</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9.800.727.964</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8. Chi phí bán hàng</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24</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1.507.731.659</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3.598.838.473</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5.359.554.075</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9.778</w:t>
            </w:r>
            <w:r w:rsidR="00D4281E">
              <w:rPr>
                <w:rFonts w:ascii="Arial" w:eastAsia="Times New Roman" w:hAnsi="Arial" w:cs="Arial"/>
                <w:sz w:val="16"/>
                <w:szCs w:val="16"/>
              </w:rPr>
              <w:t>.998.934</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9. Chi phí quản lý doanh nghiệp</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25</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1.507.731.659</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1.367.778.222</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5.359.554.075</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D4281E">
              <w:rPr>
                <w:rFonts w:ascii="Arial" w:eastAsia="Times New Roman" w:hAnsi="Arial" w:cs="Arial"/>
                <w:sz w:val="16"/>
                <w:szCs w:val="16"/>
              </w:rPr>
              <w:t>4.877.924.584</w:t>
            </w:r>
            <w:r w:rsidRPr="00525200">
              <w:rPr>
                <w:rFonts w:ascii="Arial" w:eastAsia="Times New Roman" w:hAnsi="Arial" w:cs="Arial"/>
                <w:sz w:val="16"/>
                <w:szCs w:val="16"/>
              </w:rPr>
              <w:t xml:space="preserve"> </w:t>
            </w:r>
          </w:p>
        </w:tc>
      </w:tr>
      <w:tr w:rsidR="00514AC0" w:rsidRPr="00525200" w:rsidTr="00514AC0">
        <w:trPr>
          <w:trHeight w:val="413"/>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10. Lợi nhuận thuần từ hoạt động kinh doanh{30=20+(21-22) - (24+25)}</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30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r>
              <w:rPr>
                <w:rFonts w:ascii="Arial" w:hAnsi="Arial" w:cs="Arial"/>
                <w:b/>
                <w:bCs/>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25.227.413.283</w:t>
            </w:r>
            <w:r w:rsidRPr="00525200">
              <w:rPr>
                <w:rFonts w:ascii="Arial" w:eastAsia="Times New Roman" w:hAnsi="Arial" w:cs="Arial"/>
                <w:b/>
                <w:bCs/>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3D4A7F">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3D4A7F">
              <w:rPr>
                <w:rFonts w:ascii="Arial" w:eastAsia="Times New Roman" w:hAnsi="Arial" w:cs="Arial"/>
                <w:b/>
                <w:bCs/>
                <w:sz w:val="16"/>
                <w:szCs w:val="16"/>
              </w:rPr>
              <w:t>5.357.550.470</w:t>
            </w:r>
            <w:r w:rsidRPr="00525200">
              <w:rPr>
                <w:rFonts w:ascii="Arial" w:eastAsia="Times New Roman" w:hAnsi="Arial" w:cs="Arial"/>
                <w:b/>
                <w:bCs/>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47.145.251.961</w:t>
            </w:r>
            <w:r w:rsidRPr="00525200">
              <w:rPr>
                <w:rFonts w:ascii="Arial" w:eastAsia="Times New Roman" w:hAnsi="Arial" w:cs="Arial"/>
                <w:b/>
                <w:bCs/>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D4281E">
              <w:rPr>
                <w:rFonts w:ascii="Arial" w:eastAsia="Times New Roman" w:hAnsi="Arial" w:cs="Arial"/>
                <w:b/>
                <w:bCs/>
                <w:sz w:val="16"/>
                <w:szCs w:val="16"/>
              </w:rPr>
              <w:t>8.115.021.436</w:t>
            </w:r>
            <w:r w:rsidRPr="00525200">
              <w:rPr>
                <w:rFonts w:ascii="Arial" w:eastAsia="Times New Roman" w:hAnsi="Arial" w:cs="Arial"/>
                <w:b/>
                <w:bCs/>
                <w:sz w:val="16"/>
                <w:szCs w:val="16"/>
              </w:rPr>
              <w:t>)</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11. Thu nhập khác</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31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32</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10.974.897</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250.000.</w:t>
            </w:r>
            <w:r w:rsidR="00180568">
              <w:rPr>
                <w:rFonts w:ascii="Arial" w:eastAsia="Times New Roman" w:hAnsi="Arial" w:cs="Arial"/>
                <w:sz w:val="16"/>
                <w:szCs w:val="16"/>
              </w:rPr>
              <w:t>557</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D4281E">
              <w:rPr>
                <w:rFonts w:ascii="Arial" w:eastAsia="Times New Roman" w:hAnsi="Arial" w:cs="Arial"/>
                <w:sz w:val="16"/>
                <w:szCs w:val="16"/>
              </w:rPr>
              <w:t>11.383.597</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12. Chi phí khác</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32</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1.774.404.315</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283.395.990</w:t>
            </w: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3D4A7F">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3D4A7F">
              <w:rPr>
                <w:rFonts w:ascii="Arial" w:eastAsia="Times New Roman" w:hAnsi="Arial" w:cs="Arial"/>
                <w:sz w:val="16"/>
                <w:szCs w:val="16"/>
              </w:rPr>
              <w:t>8.148.631.845</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D4281E">
              <w:rPr>
                <w:rFonts w:ascii="Arial" w:eastAsia="Times New Roman" w:hAnsi="Arial" w:cs="Arial"/>
                <w:sz w:val="16"/>
                <w:szCs w:val="16"/>
              </w:rPr>
              <w:t>287.527.279</w:t>
            </w: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13. Lợi nhuận khác(40=31-32)</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40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r>
              <w:rPr>
                <w:rFonts w:ascii="Arial" w:hAnsi="Arial" w:cs="Arial"/>
                <w:b/>
                <w:bCs/>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1.774.404.283</w:t>
            </w:r>
            <w:r w:rsidRPr="00525200">
              <w:rPr>
                <w:rFonts w:ascii="Arial" w:eastAsia="Times New Roman" w:hAnsi="Arial" w:cs="Arial"/>
                <w:b/>
                <w:bCs/>
                <w:sz w:val="16"/>
                <w:szCs w:val="16"/>
              </w:rPr>
              <w:t>)</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272.421.093</w:t>
            </w:r>
            <w:r w:rsidRPr="00525200">
              <w:rPr>
                <w:rFonts w:ascii="Arial" w:eastAsia="Times New Roman" w:hAnsi="Arial" w:cs="Arial"/>
                <w:b/>
                <w:bCs/>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3D4A7F">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3D4A7F">
              <w:rPr>
                <w:rFonts w:ascii="Arial" w:eastAsia="Times New Roman" w:hAnsi="Arial" w:cs="Arial"/>
                <w:b/>
                <w:bCs/>
                <w:sz w:val="16"/>
                <w:szCs w:val="16"/>
              </w:rPr>
              <w:t>7.898.631.288</w:t>
            </w:r>
            <w:r w:rsidRPr="00525200">
              <w:rPr>
                <w:rFonts w:ascii="Arial" w:eastAsia="Times New Roman" w:hAnsi="Arial" w:cs="Arial"/>
                <w:b/>
                <w:bCs/>
                <w:sz w:val="16"/>
                <w:szCs w:val="16"/>
              </w:rPr>
              <w:t>)</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D4281E">
              <w:rPr>
                <w:rFonts w:ascii="Arial" w:eastAsia="Times New Roman" w:hAnsi="Arial" w:cs="Arial"/>
                <w:b/>
                <w:bCs/>
                <w:sz w:val="16"/>
                <w:szCs w:val="16"/>
              </w:rPr>
              <w:t>276.143.682</w:t>
            </w:r>
            <w:r w:rsidRPr="00525200">
              <w:rPr>
                <w:rFonts w:ascii="Arial" w:eastAsia="Times New Roman" w:hAnsi="Arial" w:cs="Arial"/>
                <w:b/>
                <w:bCs/>
                <w:sz w:val="16"/>
                <w:szCs w:val="16"/>
              </w:rPr>
              <w:t>)</w:t>
            </w:r>
          </w:p>
        </w:tc>
      </w:tr>
      <w:tr w:rsidR="00514AC0" w:rsidRPr="00525200" w:rsidTr="00514AC0">
        <w:trPr>
          <w:trHeight w:val="407"/>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14. Phần lãi lỗ trong công ty liên kết, liên doanh</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45</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14AC0" w:rsidRPr="00525200" w:rsidTr="00514AC0">
        <w:trPr>
          <w:trHeight w:val="45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15. Tổng lợi nhuận kế toán trước thuế(50=30+40)</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50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r>
              <w:rPr>
                <w:rFonts w:ascii="Arial" w:hAnsi="Arial" w:cs="Arial"/>
                <w:b/>
                <w:bCs/>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23.453.009.000</w:t>
            </w:r>
            <w:r w:rsidRPr="00525200">
              <w:rPr>
                <w:rFonts w:ascii="Arial" w:eastAsia="Times New Roman" w:hAnsi="Arial" w:cs="Arial"/>
                <w:b/>
                <w:bCs/>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5.629.971.563</w:t>
            </w:r>
            <w:r w:rsidRPr="00525200">
              <w:rPr>
                <w:rFonts w:ascii="Arial" w:eastAsia="Times New Roman" w:hAnsi="Arial" w:cs="Arial"/>
                <w:b/>
                <w:bCs/>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39.246.620.673</w:t>
            </w:r>
            <w:r w:rsidRPr="00525200">
              <w:rPr>
                <w:rFonts w:ascii="Arial" w:eastAsia="Times New Roman" w:hAnsi="Arial" w:cs="Arial"/>
                <w:b/>
                <w:bCs/>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D4281E">
              <w:rPr>
                <w:rFonts w:ascii="Arial" w:eastAsia="Times New Roman" w:hAnsi="Arial" w:cs="Arial"/>
                <w:b/>
                <w:bCs/>
                <w:sz w:val="16"/>
                <w:szCs w:val="16"/>
              </w:rPr>
              <w:t>8.391.165.118</w:t>
            </w:r>
            <w:r w:rsidRPr="00525200">
              <w:rPr>
                <w:rFonts w:ascii="Arial" w:eastAsia="Times New Roman" w:hAnsi="Arial" w:cs="Arial"/>
                <w:b/>
                <w:bCs/>
                <w:sz w:val="16"/>
                <w:szCs w:val="16"/>
              </w:rPr>
              <w:t>)</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16. Chi phí thuế TNDN hiện hành</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51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1.263.712.452</w:t>
            </w:r>
            <w:r w:rsidRPr="00525200">
              <w:rPr>
                <w:rFonts w:ascii="Arial" w:eastAsia="Times New Roman" w:hAnsi="Arial" w:cs="Arial"/>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1.674.889.409</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17. Chi phí thuế TNDN hoãn lại</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52</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14AC0" w:rsidRPr="00525200" w:rsidTr="00514AC0">
        <w:trPr>
          <w:trHeight w:val="499"/>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18. Lợi nhuận sau thuế thu nhập doanh nghiệp(60=50-51-52)</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60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b/>
                <w:bCs/>
                <w:sz w:val="18"/>
                <w:szCs w:val="18"/>
              </w:rPr>
            </w:pPr>
            <w:r>
              <w:rPr>
                <w:rFonts w:ascii="Arial" w:hAnsi="Arial" w:cs="Arial"/>
                <w:b/>
                <w:bCs/>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22.189.296.548</w:t>
            </w:r>
            <w:r w:rsidRPr="00525200">
              <w:rPr>
                <w:rFonts w:ascii="Arial" w:eastAsia="Times New Roman" w:hAnsi="Arial" w:cs="Arial"/>
                <w:b/>
                <w:bCs/>
                <w:sz w:val="16"/>
                <w:szCs w:val="16"/>
              </w:rPr>
              <w:t xml:space="preserve">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C31270">
              <w:rPr>
                <w:rFonts w:ascii="Arial" w:eastAsia="Times New Roman" w:hAnsi="Arial" w:cs="Arial"/>
                <w:b/>
                <w:bCs/>
                <w:sz w:val="16"/>
                <w:szCs w:val="16"/>
              </w:rPr>
              <w:t>5.629.971.563</w:t>
            </w:r>
            <w:r w:rsidRPr="00525200">
              <w:rPr>
                <w:rFonts w:ascii="Arial" w:eastAsia="Times New Roman" w:hAnsi="Arial" w:cs="Arial"/>
                <w:b/>
                <w:bCs/>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180568">
              <w:rPr>
                <w:rFonts w:ascii="Arial" w:eastAsia="Times New Roman" w:hAnsi="Arial" w:cs="Arial"/>
                <w:b/>
                <w:bCs/>
                <w:sz w:val="16"/>
                <w:szCs w:val="16"/>
              </w:rPr>
              <w:t>37.571.731.264</w:t>
            </w:r>
            <w:r w:rsidRPr="00525200">
              <w:rPr>
                <w:rFonts w:ascii="Arial" w:eastAsia="Times New Roman" w:hAnsi="Arial" w:cs="Arial"/>
                <w:b/>
                <w:bCs/>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w:t>
            </w:r>
            <w:r w:rsidR="00D4281E" w:rsidRPr="00525200">
              <w:rPr>
                <w:rFonts w:ascii="Arial" w:eastAsia="Times New Roman" w:hAnsi="Arial" w:cs="Arial"/>
                <w:b/>
                <w:bCs/>
                <w:sz w:val="16"/>
                <w:szCs w:val="16"/>
              </w:rPr>
              <w:t>(</w:t>
            </w:r>
            <w:r w:rsidR="00D4281E">
              <w:rPr>
                <w:rFonts w:ascii="Arial" w:eastAsia="Times New Roman" w:hAnsi="Arial" w:cs="Arial"/>
                <w:b/>
                <w:bCs/>
                <w:sz w:val="16"/>
                <w:szCs w:val="16"/>
              </w:rPr>
              <w:t>8.391.165.118</w:t>
            </w:r>
            <w:r w:rsidR="00D4281E" w:rsidRPr="00525200">
              <w:rPr>
                <w:rFonts w:ascii="Arial" w:eastAsia="Times New Roman" w:hAnsi="Arial" w:cs="Arial"/>
                <w:b/>
                <w:bCs/>
                <w:sz w:val="16"/>
                <w:szCs w:val="16"/>
              </w:rPr>
              <w:t>)</w:t>
            </w:r>
          </w:p>
        </w:tc>
      </w:tr>
      <w:tr w:rsidR="00514AC0" w:rsidRPr="00525200" w:rsidTr="00514AC0">
        <w:trPr>
          <w:trHeight w:val="39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18.1 Lợi nhuận sau thuế của cổ đông thiểu số</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61</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14AC0" w:rsidRPr="00525200" w:rsidTr="00514AC0">
        <w:trPr>
          <w:trHeight w:val="41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18.2 Lợi nhuận sau thuế của cổ đông công ty mẹ</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62</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14AC0" w:rsidRPr="00525200" w:rsidTr="00514AC0">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14AC0" w:rsidRPr="00525200" w:rsidRDefault="00514AC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19. Lãi cơ bản trên cổ phiếu(*)</w:t>
            </w:r>
          </w:p>
        </w:tc>
        <w:tc>
          <w:tcPr>
            <w:tcW w:w="537"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70</w:t>
            </w:r>
          </w:p>
        </w:tc>
        <w:tc>
          <w:tcPr>
            <w:tcW w:w="741" w:type="dxa"/>
            <w:tcBorders>
              <w:top w:val="nil"/>
              <w:left w:val="nil"/>
              <w:bottom w:val="single" w:sz="4" w:space="0" w:color="000000"/>
              <w:right w:val="single" w:sz="4" w:space="0" w:color="000000"/>
            </w:tcBorders>
            <w:shd w:val="clear" w:color="auto" w:fill="auto"/>
            <w:noWrap/>
            <w:vAlign w:val="bottom"/>
            <w:hideMark/>
          </w:tcPr>
          <w:p w:rsidR="00514AC0" w:rsidRDefault="00514AC0">
            <w:pPr>
              <w:jc w:val="center"/>
              <w:rPr>
                <w:rFonts w:ascii="Arial" w:hAnsi="Arial" w:cs="Arial"/>
                <w:sz w:val="18"/>
                <w:szCs w:val="18"/>
              </w:rPr>
            </w:pPr>
            <w:r>
              <w:rPr>
                <w:rFonts w:ascii="Arial" w:hAnsi="Arial" w:cs="Arial"/>
                <w:sz w:val="18"/>
                <w:szCs w:val="18"/>
              </w:rPr>
              <w:t>VI.24</w:t>
            </w:r>
          </w:p>
        </w:tc>
        <w:tc>
          <w:tcPr>
            <w:tcW w:w="1346"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C3127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C31270">
              <w:rPr>
                <w:rFonts w:ascii="Arial" w:eastAsia="Times New Roman" w:hAnsi="Arial" w:cs="Arial"/>
                <w:sz w:val="16"/>
                <w:szCs w:val="16"/>
              </w:rPr>
              <w:t>2.465</w:t>
            </w:r>
          </w:p>
        </w:tc>
        <w:tc>
          <w:tcPr>
            <w:tcW w:w="1329"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180568">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180568">
              <w:rPr>
                <w:rFonts w:ascii="Arial" w:eastAsia="Times New Roman" w:hAnsi="Arial" w:cs="Arial"/>
                <w:sz w:val="16"/>
                <w:szCs w:val="16"/>
              </w:rPr>
              <w:t>626</w:t>
            </w:r>
            <w:r w:rsidRPr="00525200">
              <w:rPr>
                <w:rFonts w:ascii="Arial" w:eastAsia="Times New Roman" w:hAnsi="Arial" w:cs="Arial"/>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D4281E">
              <w:rPr>
                <w:rFonts w:ascii="Arial" w:eastAsia="Times New Roman" w:hAnsi="Arial" w:cs="Arial"/>
                <w:sz w:val="16"/>
                <w:szCs w:val="16"/>
              </w:rPr>
              <w:t>4.175</w:t>
            </w:r>
            <w:r w:rsidRPr="00525200">
              <w:rPr>
                <w:rFonts w:ascii="Arial" w:eastAsia="Times New Roman" w:hAnsi="Arial" w:cs="Arial"/>
                <w:sz w:val="16"/>
                <w:szCs w:val="16"/>
              </w:rPr>
              <w:t xml:space="preserve"> </w:t>
            </w:r>
          </w:p>
        </w:tc>
        <w:tc>
          <w:tcPr>
            <w:tcW w:w="1364" w:type="dxa"/>
            <w:tcBorders>
              <w:top w:val="nil"/>
              <w:left w:val="nil"/>
              <w:bottom w:val="single" w:sz="4" w:space="0" w:color="000000"/>
              <w:right w:val="single" w:sz="4" w:space="0" w:color="000000"/>
            </w:tcBorders>
            <w:shd w:val="clear" w:color="auto" w:fill="auto"/>
            <w:noWrap/>
            <w:vAlign w:val="bottom"/>
            <w:hideMark/>
          </w:tcPr>
          <w:p w:rsidR="00514AC0" w:rsidRPr="00525200" w:rsidRDefault="00514AC0" w:rsidP="00D4281E">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w:t>
            </w:r>
            <w:r w:rsidR="00D4281E">
              <w:rPr>
                <w:rFonts w:ascii="Arial" w:eastAsia="Times New Roman" w:hAnsi="Arial" w:cs="Arial"/>
                <w:sz w:val="16"/>
                <w:szCs w:val="16"/>
              </w:rPr>
              <w:t>932</w:t>
            </w:r>
            <w:r w:rsidRPr="00525200">
              <w:rPr>
                <w:rFonts w:ascii="Arial" w:eastAsia="Times New Roman" w:hAnsi="Arial" w:cs="Arial"/>
                <w:sz w:val="16"/>
                <w:szCs w:val="16"/>
              </w:rPr>
              <w:t>)</w:t>
            </w:r>
          </w:p>
        </w:tc>
      </w:tr>
    </w:tbl>
    <w:tbl>
      <w:tblPr>
        <w:tblStyle w:val="TableGrid"/>
        <w:tblW w:w="1092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640"/>
        <w:gridCol w:w="3641"/>
      </w:tblGrid>
      <w:tr w:rsidR="00525200" w:rsidRPr="00525200" w:rsidTr="00514AC0">
        <w:trPr>
          <w:trHeight w:val="2213"/>
          <w:jc w:val="center"/>
        </w:trPr>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525200" w:rsidRPr="00525200" w:rsidRDefault="00525200" w:rsidP="00811D93">
            <w:pPr>
              <w:jc w:val="center"/>
              <w:rPr>
                <w:rFonts w:ascii="Times New Roman" w:eastAsia="Times New Roman" w:hAnsi="Times New Roman" w:cs="Times New Roman"/>
                <w:b/>
                <w:bCs/>
              </w:rPr>
            </w:pPr>
          </w:p>
        </w:tc>
        <w:tc>
          <w:tcPr>
            <w:tcW w:w="3641"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525200" w:rsidRPr="00525200" w:rsidRDefault="00525200" w:rsidP="00811D93">
            <w:pPr>
              <w:jc w:val="center"/>
              <w:rPr>
                <w:rFonts w:ascii="Times New Roman" w:eastAsia="Times New Roman" w:hAnsi="Times New Roman" w:cs="Times New Roman"/>
                <w:b/>
                <w:bCs/>
              </w:rPr>
            </w:pPr>
          </w:p>
        </w:tc>
      </w:tr>
      <w:tr w:rsidR="00525200" w:rsidRPr="00525200" w:rsidTr="00514AC0">
        <w:trPr>
          <w:trHeight w:val="119"/>
          <w:jc w:val="center"/>
        </w:trPr>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640"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641"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LƯU CHUYỂN TIỀN TỆ – PPTT</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664"/>
        <w:gridCol w:w="812"/>
        <w:gridCol w:w="1608"/>
        <w:gridCol w:w="1599"/>
      </w:tblGrid>
      <w:tr w:rsidR="008665B1" w:rsidRPr="008665B1" w:rsidTr="008665B1">
        <w:trPr>
          <w:trHeight w:val="105"/>
        </w:trPr>
        <w:tc>
          <w:tcPr>
            <w:tcW w:w="4920"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Chỉ tiêu</w:t>
            </w:r>
          </w:p>
        </w:tc>
        <w:tc>
          <w:tcPr>
            <w:tcW w:w="664"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Mã chỉ tiêu</w:t>
            </w:r>
          </w:p>
        </w:tc>
        <w:tc>
          <w:tcPr>
            <w:tcW w:w="812"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Thuyết minh</w:t>
            </w:r>
          </w:p>
        </w:tc>
        <w:tc>
          <w:tcPr>
            <w:tcW w:w="1608"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Lũy kế từ đầu năm đến cuối quý này(Năm nay)</w:t>
            </w:r>
          </w:p>
        </w:tc>
        <w:tc>
          <w:tcPr>
            <w:tcW w:w="1599"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Lũy kế từ đầu năm đến cuối quý này(Năm trước)</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 Lưu chuyển tiền từ hoạt động kinh doanh</w:t>
            </w:r>
          </w:p>
        </w:tc>
        <w:tc>
          <w:tcPr>
            <w:tcW w:w="664"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w:t>
            </w:r>
          </w:p>
        </w:tc>
        <w:tc>
          <w:tcPr>
            <w:tcW w:w="1599" w:type="dxa"/>
            <w:shd w:val="clear" w:color="auto" w:fill="auto"/>
            <w:noWrap/>
            <w:vAlign w:val="bottom"/>
          </w:tcPr>
          <w:p w:rsidR="00525200" w:rsidRPr="008665B1" w:rsidRDefault="00525200" w:rsidP="00811D93">
            <w:pPr>
              <w:spacing w:after="0" w:line="240" w:lineRule="auto"/>
              <w:jc w:val="right"/>
              <w:rPr>
                <w:rFonts w:ascii="Arial" w:eastAsia="Times New Roman" w:hAnsi="Arial" w:cs="Arial"/>
                <w:b/>
                <w:bCs/>
                <w:sz w:val="16"/>
                <w:szCs w:val="16"/>
              </w:rPr>
            </w:pPr>
          </w:p>
        </w:tc>
      </w:tr>
      <w:tr w:rsidR="008665B1" w:rsidRPr="008665B1" w:rsidTr="008665B1">
        <w:trPr>
          <w:trHeight w:val="202"/>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 Tiền thu từ bán hàng, cung cấp dịch vụ và doanh thu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160.873.298.974</w:t>
            </w:r>
            <w:r w:rsidRPr="008665B1">
              <w:rPr>
                <w:rFonts w:ascii="Arial" w:eastAsia="Times New Roman" w:hAnsi="Arial" w:cs="Arial"/>
                <w:sz w:val="16"/>
                <w:szCs w:val="16"/>
              </w:rPr>
              <w:t xml:space="preserve"> </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92.185.255.323</w:t>
            </w:r>
            <w:r w:rsidRPr="008665B1">
              <w:rPr>
                <w:rFonts w:ascii="Arial" w:eastAsia="Times New Roman" w:hAnsi="Arial" w:cs="Arial"/>
                <w:sz w:val="16"/>
                <w:szCs w:val="16"/>
              </w:rPr>
              <w:t xml:space="preserve"> </w:t>
            </w:r>
          </w:p>
        </w:tc>
      </w:tr>
      <w:tr w:rsidR="008665B1" w:rsidRPr="008665B1" w:rsidTr="008665B1">
        <w:trPr>
          <w:trHeight w:val="176"/>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 Tiền chi trả cho người cung cấp hàng hóa và dịch vụ</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129.498.152.869</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67.424.660.192</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 Tiền chi trả cho người lao động</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10.856.034.330</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EA5720">
              <w:rPr>
                <w:rFonts w:ascii="Arial" w:eastAsia="Times New Roman" w:hAnsi="Arial" w:cs="Arial"/>
                <w:sz w:val="16"/>
                <w:szCs w:val="16"/>
              </w:rPr>
              <w:t>13.018.</w:t>
            </w:r>
            <w:r w:rsidR="00695545">
              <w:rPr>
                <w:rFonts w:ascii="Arial" w:eastAsia="Times New Roman" w:hAnsi="Arial" w:cs="Arial"/>
                <w:sz w:val="16"/>
                <w:szCs w:val="16"/>
              </w:rPr>
              <w:t>787.056</w:t>
            </w:r>
            <w:r w:rsidRPr="008665B1">
              <w:rPr>
                <w:rFonts w:ascii="Arial" w:eastAsia="Times New Roman" w:hAnsi="Arial" w:cs="Arial"/>
                <w:sz w:val="16"/>
                <w:szCs w:val="16"/>
              </w:rPr>
              <w:t>)</w:t>
            </w:r>
          </w:p>
        </w:tc>
      </w:tr>
      <w:tr w:rsidR="008665B1" w:rsidRPr="008665B1" w:rsidTr="008665B1">
        <w:trPr>
          <w:trHeight w:val="262"/>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 Tiền chi trả lãi vay</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10.027.161.008</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EA5720">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EA5720">
              <w:rPr>
                <w:rFonts w:ascii="Arial" w:eastAsia="Times New Roman" w:hAnsi="Arial" w:cs="Arial"/>
                <w:sz w:val="16"/>
                <w:szCs w:val="16"/>
              </w:rPr>
              <w:t>9.800.724.011</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xml:space="preserve">5. Tiền chi nộp thuế thu nhập doanh nghiệp </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(25.489.595)</w:t>
            </w:r>
          </w:p>
        </w:tc>
        <w:tc>
          <w:tcPr>
            <w:tcW w:w="1599" w:type="dxa"/>
            <w:shd w:val="clear" w:color="auto" w:fill="auto"/>
            <w:noWrap/>
            <w:vAlign w:val="bottom"/>
            <w:hideMark/>
          </w:tcPr>
          <w:p w:rsidR="00525200" w:rsidRPr="008665B1" w:rsidRDefault="00525200" w:rsidP="00EA5720">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EA5720">
              <w:rPr>
                <w:rFonts w:ascii="Arial" w:eastAsia="Times New Roman" w:hAnsi="Arial" w:cs="Arial"/>
                <w:sz w:val="16"/>
                <w:szCs w:val="16"/>
              </w:rPr>
              <w:t>50.604.911</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 Tiền thu khác từ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303.714.656</w:t>
            </w:r>
            <w:r w:rsidRPr="008665B1">
              <w:rPr>
                <w:rFonts w:ascii="Arial" w:eastAsia="Times New Roman" w:hAnsi="Arial" w:cs="Arial"/>
                <w:sz w:val="16"/>
                <w:szCs w:val="16"/>
              </w:rPr>
              <w:t xml:space="preserve"> </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8.622.061.686</w:t>
            </w:r>
            <w:r w:rsidRPr="008665B1">
              <w:rPr>
                <w:rFonts w:ascii="Arial" w:eastAsia="Times New Roman" w:hAnsi="Arial" w:cs="Arial"/>
                <w:sz w:val="16"/>
                <w:szCs w:val="16"/>
              </w:rPr>
              <w:t xml:space="preserve">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7. Tiền chi khác cho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07</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15.838.686.263</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5.321.484.001</w:t>
            </w:r>
            <w:r w:rsidRPr="008665B1">
              <w:rPr>
                <w:rFonts w:ascii="Arial" w:eastAsia="Times New Roman" w:hAnsi="Arial" w:cs="Arial"/>
                <w:sz w:val="16"/>
                <w:szCs w:val="16"/>
              </w:rPr>
              <w:t>)</w:t>
            </w:r>
          </w:p>
        </w:tc>
      </w:tr>
      <w:tr w:rsidR="008665B1" w:rsidRPr="008665B1" w:rsidTr="008665B1">
        <w:trPr>
          <w:trHeight w:val="113"/>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20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30B08">
              <w:rPr>
                <w:rFonts w:ascii="Arial" w:eastAsia="Times New Roman" w:hAnsi="Arial" w:cs="Arial"/>
                <w:b/>
                <w:bCs/>
                <w:sz w:val="16"/>
                <w:szCs w:val="16"/>
              </w:rPr>
              <w:t>5.068.510.435</w:t>
            </w:r>
            <w:r w:rsidRPr="008665B1">
              <w:rPr>
                <w:rFonts w:ascii="Arial" w:eastAsia="Times New Roman" w:hAnsi="Arial" w:cs="Arial"/>
                <w:b/>
                <w:bCs/>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695545">
              <w:rPr>
                <w:rFonts w:ascii="Arial" w:eastAsia="Times New Roman" w:hAnsi="Arial" w:cs="Arial"/>
                <w:b/>
                <w:bCs/>
                <w:sz w:val="16"/>
                <w:szCs w:val="16"/>
              </w:rPr>
              <w:t>5.191.056.838</w:t>
            </w:r>
            <w:r w:rsidRPr="008665B1">
              <w:rPr>
                <w:rFonts w:ascii="Arial" w:eastAsia="Times New Roman" w:hAnsi="Arial" w:cs="Arial"/>
                <w:b/>
                <w:bCs/>
                <w:sz w:val="16"/>
                <w:szCs w:val="16"/>
              </w:rPr>
              <w:t xml:space="preserve"> </w:t>
            </w:r>
          </w:p>
        </w:tc>
      </w:tr>
      <w:tr w:rsidR="008665B1" w:rsidRPr="008665B1" w:rsidTr="008665B1">
        <w:trPr>
          <w:trHeight w:val="175"/>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II. Lưu chuyển tiền từ hoạt động đầu tư</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1.Tiền chi để mua sắm, xây dựng TSCĐ và các tài sản dài hạn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1.796.636.364</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2.489.526.801</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2.Tiền thu từ thanh lý, nhượng bán TSCĐ và các tài sản dài hạn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275.000.000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3.Tiền chi cho vay, mua các công cụ nợ của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4.Tiền thu hồi cho vay, bán lại các công cụ nợ của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5.Tiền chi đầu tư góp vốn vào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EA5720">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EA5720">
              <w:rPr>
                <w:rFonts w:ascii="Arial" w:eastAsia="Times New Roman" w:hAnsi="Arial" w:cs="Arial"/>
                <w:sz w:val="16"/>
                <w:szCs w:val="16"/>
              </w:rPr>
              <w:t>1.000.000.000</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6.Tiền thu hồi đầu tư góp vốn vào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695545" w:rsidP="00811D93">
            <w:pPr>
              <w:spacing w:after="0" w:line="240" w:lineRule="auto"/>
              <w:jc w:val="right"/>
              <w:rPr>
                <w:rFonts w:ascii="Arial" w:eastAsia="Times New Roman" w:hAnsi="Arial" w:cs="Arial"/>
                <w:sz w:val="16"/>
                <w:szCs w:val="16"/>
              </w:rPr>
            </w:pPr>
            <w:r>
              <w:rPr>
                <w:rFonts w:ascii="Arial" w:eastAsia="Times New Roman" w:hAnsi="Arial" w:cs="Arial"/>
                <w:sz w:val="16"/>
                <w:szCs w:val="16"/>
              </w:rPr>
              <w:t>8.070.000.000</w:t>
            </w:r>
            <w:r w:rsidR="00525200"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7.Tiền thu lãi cho vay, cổ tức và lợi nhuận được chia</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27</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38.536.172</w:t>
            </w:r>
            <w:r w:rsidRPr="008665B1">
              <w:rPr>
                <w:rFonts w:ascii="Arial" w:eastAsia="Times New Roman" w:hAnsi="Arial" w:cs="Arial"/>
                <w:sz w:val="16"/>
                <w:szCs w:val="16"/>
              </w:rPr>
              <w:t xml:space="preserve"> </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695545">
              <w:rPr>
                <w:rFonts w:ascii="Arial" w:eastAsia="Times New Roman" w:hAnsi="Arial" w:cs="Arial"/>
                <w:sz w:val="16"/>
                <w:szCs w:val="16"/>
              </w:rPr>
              <w:t>47.496.426</w:t>
            </w:r>
            <w:r w:rsidRPr="008665B1">
              <w:rPr>
                <w:rFonts w:ascii="Arial" w:eastAsia="Times New Roman" w:hAnsi="Arial" w:cs="Arial"/>
                <w:sz w:val="16"/>
                <w:szCs w:val="16"/>
              </w:rPr>
              <w:t xml:space="preserve"> </w:t>
            </w:r>
          </w:p>
        </w:tc>
      </w:tr>
      <w:tr w:rsidR="008665B1" w:rsidRPr="008665B1" w:rsidTr="008665B1">
        <w:trPr>
          <w:trHeight w:val="161"/>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đầu tư</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30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30B08">
              <w:rPr>
                <w:rFonts w:ascii="Arial" w:eastAsia="Times New Roman" w:hAnsi="Arial" w:cs="Arial"/>
                <w:b/>
                <w:bCs/>
                <w:sz w:val="16"/>
                <w:szCs w:val="16"/>
              </w:rPr>
              <w:t>1.483.100.192</w:t>
            </w:r>
            <w:r w:rsidRPr="008665B1">
              <w:rPr>
                <w:rFonts w:ascii="Arial" w:eastAsia="Times New Roman" w:hAnsi="Arial" w:cs="Arial"/>
                <w:b/>
                <w:bCs/>
                <w:sz w:val="16"/>
                <w:szCs w:val="16"/>
              </w:rPr>
              <w:t>)</w:t>
            </w:r>
          </w:p>
        </w:tc>
        <w:tc>
          <w:tcPr>
            <w:tcW w:w="1599" w:type="dxa"/>
            <w:shd w:val="clear" w:color="auto" w:fill="auto"/>
            <w:noWrap/>
            <w:vAlign w:val="bottom"/>
            <w:hideMark/>
          </w:tcPr>
          <w:p w:rsidR="00525200" w:rsidRPr="008665B1" w:rsidRDefault="00525200" w:rsidP="00695545">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695545">
              <w:rPr>
                <w:rFonts w:ascii="Arial" w:eastAsia="Times New Roman" w:hAnsi="Arial" w:cs="Arial"/>
                <w:b/>
                <w:bCs/>
                <w:sz w:val="16"/>
                <w:szCs w:val="16"/>
              </w:rPr>
              <w:t>4.627.969.625</w:t>
            </w:r>
            <w:r w:rsidRPr="008665B1">
              <w:rPr>
                <w:rFonts w:ascii="Arial" w:eastAsia="Times New Roman" w:hAnsi="Arial" w:cs="Arial"/>
                <w:b/>
                <w:bCs/>
                <w:sz w:val="16"/>
                <w:szCs w:val="16"/>
              </w:rPr>
              <w:t>)</w:t>
            </w:r>
          </w:p>
        </w:tc>
      </w:tr>
      <w:tr w:rsidR="008665B1" w:rsidRPr="008665B1" w:rsidTr="008665B1">
        <w:trPr>
          <w:trHeight w:val="209"/>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III. Lưu chuyển tiền từ hoạt động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1.Tiền thu từ phát hành cổ phiếu, nhận vốn góp của chủ sở hữu</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2.Tiền chi trả vốn góp cho các chủ sở hữu, mua lại cổ phiếu của doanh nghiệp đã phát hành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3.Tiền vay ngắn hạn, dài hạn nhận được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95.965.391.960</w:t>
            </w:r>
            <w:r w:rsidRPr="008665B1">
              <w:rPr>
                <w:rFonts w:ascii="Arial" w:eastAsia="Times New Roman" w:hAnsi="Arial" w:cs="Arial"/>
                <w:sz w:val="16"/>
                <w:szCs w:val="16"/>
              </w:rPr>
              <w:t xml:space="preserve"> </w:t>
            </w:r>
          </w:p>
        </w:tc>
        <w:tc>
          <w:tcPr>
            <w:tcW w:w="1599" w:type="dxa"/>
            <w:shd w:val="clear" w:color="auto" w:fill="auto"/>
            <w:noWrap/>
            <w:vAlign w:val="bottom"/>
            <w:hideMark/>
          </w:tcPr>
          <w:p w:rsidR="00525200" w:rsidRPr="008665B1" w:rsidRDefault="00695545" w:rsidP="00811D93">
            <w:pPr>
              <w:spacing w:after="0" w:line="240" w:lineRule="auto"/>
              <w:jc w:val="right"/>
              <w:rPr>
                <w:rFonts w:ascii="Arial" w:eastAsia="Times New Roman" w:hAnsi="Arial" w:cs="Arial"/>
                <w:sz w:val="16"/>
                <w:szCs w:val="16"/>
              </w:rPr>
            </w:pPr>
            <w:r>
              <w:rPr>
                <w:rFonts w:ascii="Arial" w:eastAsia="Times New Roman" w:hAnsi="Arial" w:cs="Arial"/>
                <w:sz w:val="16"/>
                <w:szCs w:val="16"/>
              </w:rPr>
              <w:t>52.825.542.572</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4.Tiền chi trả nợ gốc vay</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75.941.375.178</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525200" w:rsidP="00EA5720">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EA5720">
              <w:rPr>
                <w:rFonts w:ascii="Arial" w:eastAsia="Times New Roman" w:hAnsi="Arial" w:cs="Arial"/>
                <w:sz w:val="16"/>
                <w:szCs w:val="16"/>
              </w:rPr>
              <w:t>53.873.189.081</w:t>
            </w:r>
            <w:r w:rsidRPr="008665B1">
              <w:rPr>
                <w:rFonts w:ascii="Arial" w:eastAsia="Times New Roman" w:hAnsi="Arial" w:cs="Arial"/>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5.Tiền chi trả nợ thuê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 Cổ tức, lợi nhuận đã trả cho chủ sở hữu</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30B08">
              <w:rPr>
                <w:rFonts w:ascii="Arial" w:eastAsia="Times New Roman" w:hAnsi="Arial" w:cs="Arial"/>
                <w:sz w:val="16"/>
                <w:szCs w:val="16"/>
              </w:rPr>
              <w:t>10.778.976.790</w:t>
            </w:r>
            <w:r w:rsidRPr="008665B1">
              <w:rPr>
                <w:rFonts w:ascii="Arial" w:eastAsia="Times New Roman" w:hAnsi="Arial" w:cs="Arial"/>
                <w:sz w:val="16"/>
                <w:szCs w:val="16"/>
              </w:rPr>
              <w:t>)</w:t>
            </w:r>
          </w:p>
        </w:tc>
        <w:tc>
          <w:tcPr>
            <w:tcW w:w="1599" w:type="dxa"/>
            <w:shd w:val="clear" w:color="auto" w:fill="auto"/>
            <w:noWrap/>
            <w:vAlign w:val="bottom"/>
            <w:hideMark/>
          </w:tcPr>
          <w:p w:rsidR="00525200" w:rsidRPr="008665B1" w:rsidRDefault="00EA5720" w:rsidP="00EA5720">
            <w:pPr>
              <w:spacing w:after="0" w:line="240" w:lineRule="auto"/>
              <w:jc w:val="right"/>
              <w:rPr>
                <w:rFonts w:ascii="Arial" w:eastAsia="Times New Roman" w:hAnsi="Arial" w:cs="Arial"/>
                <w:sz w:val="16"/>
                <w:szCs w:val="16"/>
              </w:rPr>
            </w:pPr>
            <w:r>
              <w:rPr>
                <w:rFonts w:ascii="Arial" w:eastAsia="Times New Roman" w:hAnsi="Arial" w:cs="Arial"/>
                <w:sz w:val="16"/>
                <w:szCs w:val="16"/>
              </w:rPr>
              <w:t>(8.667.750.000)</w:t>
            </w:r>
            <w:r w:rsidR="00525200"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40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30B08">
              <w:rPr>
                <w:rFonts w:ascii="Arial" w:eastAsia="Times New Roman" w:hAnsi="Arial" w:cs="Arial"/>
                <w:b/>
                <w:bCs/>
                <w:sz w:val="16"/>
                <w:szCs w:val="16"/>
              </w:rPr>
              <w:t>9.245.039.992</w:t>
            </w:r>
            <w:r w:rsidRPr="008665B1">
              <w:rPr>
                <w:rFonts w:ascii="Arial" w:eastAsia="Times New Roman" w:hAnsi="Arial" w:cs="Arial"/>
                <w:b/>
                <w:bCs/>
                <w:sz w:val="16"/>
                <w:szCs w:val="16"/>
              </w:rPr>
              <w:t xml:space="preserve"> </w:t>
            </w:r>
          </w:p>
        </w:tc>
        <w:tc>
          <w:tcPr>
            <w:tcW w:w="1599" w:type="dxa"/>
            <w:shd w:val="clear" w:color="auto" w:fill="auto"/>
            <w:noWrap/>
            <w:vAlign w:val="bottom"/>
            <w:hideMark/>
          </w:tcPr>
          <w:p w:rsidR="00525200" w:rsidRPr="008665B1" w:rsidRDefault="00525200" w:rsidP="005B209F">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B209F">
              <w:rPr>
                <w:rFonts w:ascii="Arial" w:eastAsia="Times New Roman" w:hAnsi="Arial" w:cs="Arial"/>
                <w:b/>
                <w:bCs/>
                <w:sz w:val="16"/>
                <w:szCs w:val="16"/>
              </w:rPr>
              <w:t>9.715.396.509</w:t>
            </w:r>
            <w:r w:rsidRPr="008665B1">
              <w:rPr>
                <w:rFonts w:ascii="Arial" w:eastAsia="Times New Roman" w:hAnsi="Arial" w:cs="Arial"/>
                <w:b/>
                <w:bCs/>
                <w:sz w:val="16"/>
                <w:szCs w:val="16"/>
              </w:rPr>
              <w:t>)</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trong kỳ (50 = 20+30+40)</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50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30B08">
              <w:rPr>
                <w:rFonts w:ascii="Arial" w:eastAsia="Times New Roman" w:hAnsi="Arial" w:cs="Arial"/>
                <w:b/>
                <w:bCs/>
                <w:sz w:val="16"/>
                <w:szCs w:val="16"/>
              </w:rPr>
              <w:t>2.693.429.365</w:t>
            </w:r>
          </w:p>
        </w:tc>
        <w:tc>
          <w:tcPr>
            <w:tcW w:w="1599" w:type="dxa"/>
            <w:shd w:val="clear" w:color="auto" w:fill="auto"/>
            <w:noWrap/>
            <w:vAlign w:val="bottom"/>
            <w:hideMark/>
          </w:tcPr>
          <w:p w:rsidR="00525200" w:rsidRPr="008665B1" w:rsidRDefault="00525200" w:rsidP="005B209F">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B209F">
              <w:rPr>
                <w:rFonts w:ascii="Arial" w:eastAsia="Times New Roman" w:hAnsi="Arial" w:cs="Arial"/>
                <w:b/>
                <w:bCs/>
                <w:sz w:val="16"/>
                <w:szCs w:val="16"/>
              </w:rPr>
              <w:t>103.629.954</w:t>
            </w:r>
          </w:p>
        </w:tc>
      </w:tr>
      <w:tr w:rsidR="008665B1" w:rsidRPr="008665B1" w:rsidTr="008665B1">
        <w:trPr>
          <w:trHeight w:val="301"/>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Tiền và tương đương tiền đầu kỳ</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60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1.955.871.839 </w:t>
            </w:r>
          </w:p>
        </w:tc>
        <w:tc>
          <w:tcPr>
            <w:tcW w:w="1599" w:type="dxa"/>
            <w:shd w:val="clear" w:color="auto" w:fill="auto"/>
            <w:noWrap/>
            <w:vAlign w:val="bottom"/>
            <w:hideMark/>
          </w:tcPr>
          <w:p w:rsidR="00525200" w:rsidRPr="008665B1" w:rsidRDefault="00525200" w:rsidP="005B209F">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w:t>
            </w:r>
            <w:r w:rsidR="005B209F">
              <w:rPr>
                <w:rFonts w:ascii="Arial" w:eastAsia="Times New Roman" w:hAnsi="Arial" w:cs="Arial"/>
                <w:sz w:val="16"/>
                <w:szCs w:val="16"/>
              </w:rPr>
              <w:t>(3.953)</w:t>
            </w:r>
            <w:r w:rsidRPr="008665B1">
              <w:rPr>
                <w:rFonts w:ascii="Arial" w:eastAsia="Times New Roman" w:hAnsi="Arial" w:cs="Arial"/>
                <w:sz w:val="16"/>
                <w:szCs w:val="16"/>
              </w:rPr>
              <w:t xml:space="preserve"> </w:t>
            </w:r>
          </w:p>
        </w:tc>
      </w:tr>
      <w:tr w:rsidR="008665B1" w:rsidRPr="008665B1" w:rsidTr="008665B1">
        <w:trPr>
          <w:trHeight w:val="208"/>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Ảnh hưởng của thay đổi tỷ giá hối đoái quy đổi ngoại tệ</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61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r>
      <w:tr w:rsidR="008665B1" w:rsidRPr="008665B1" w:rsidTr="008665B1">
        <w:trPr>
          <w:trHeight w:val="12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Tiền và tương đương tiền cuối kỳ (70 = 50+60+61)</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70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530B08">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30B08">
              <w:rPr>
                <w:rFonts w:ascii="Arial" w:eastAsia="Times New Roman" w:hAnsi="Arial" w:cs="Arial"/>
                <w:b/>
                <w:bCs/>
                <w:sz w:val="16"/>
                <w:szCs w:val="16"/>
              </w:rPr>
              <w:t>4.649.301.204</w:t>
            </w:r>
            <w:r w:rsidRPr="008665B1">
              <w:rPr>
                <w:rFonts w:ascii="Arial" w:eastAsia="Times New Roman" w:hAnsi="Arial" w:cs="Arial"/>
                <w:b/>
                <w:bCs/>
                <w:sz w:val="16"/>
                <w:szCs w:val="16"/>
              </w:rPr>
              <w:t xml:space="preserve"> </w:t>
            </w:r>
          </w:p>
        </w:tc>
        <w:tc>
          <w:tcPr>
            <w:tcW w:w="1599" w:type="dxa"/>
            <w:shd w:val="clear" w:color="auto" w:fill="auto"/>
            <w:noWrap/>
            <w:vAlign w:val="bottom"/>
            <w:hideMark/>
          </w:tcPr>
          <w:p w:rsidR="00525200" w:rsidRPr="008665B1" w:rsidRDefault="00525200" w:rsidP="005B209F">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r w:rsidR="005B209F">
              <w:rPr>
                <w:rFonts w:ascii="Arial" w:eastAsia="Times New Roman" w:hAnsi="Arial" w:cs="Arial"/>
                <w:b/>
                <w:bCs/>
                <w:sz w:val="16"/>
                <w:szCs w:val="16"/>
              </w:rPr>
              <w:t>1.955.871.839</w:t>
            </w:r>
            <w:r w:rsidRPr="008665B1">
              <w:rPr>
                <w:rFonts w:ascii="Arial" w:eastAsia="Times New Roman" w:hAnsi="Arial" w:cs="Arial"/>
                <w:b/>
                <w:bCs/>
                <w:sz w:val="16"/>
                <w:szCs w:val="16"/>
              </w:rPr>
              <w:t xml:space="preserve"> </w:t>
            </w:r>
          </w:p>
        </w:tc>
      </w:tr>
    </w:tbl>
    <w:tbl>
      <w:tblPr>
        <w:tblStyle w:val="TableGrid"/>
        <w:tblW w:w="1065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3550"/>
        <w:gridCol w:w="3551"/>
      </w:tblGrid>
      <w:tr w:rsidR="008665B1" w:rsidRPr="00525200" w:rsidTr="008665B1">
        <w:trPr>
          <w:trHeight w:val="1384"/>
          <w:jc w:val="center"/>
        </w:trPr>
        <w:tc>
          <w:tcPr>
            <w:tcW w:w="3550"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550"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8665B1" w:rsidRPr="00525200" w:rsidRDefault="008665B1" w:rsidP="001064A6">
            <w:pPr>
              <w:jc w:val="center"/>
              <w:rPr>
                <w:rFonts w:ascii="Times New Roman" w:eastAsia="Times New Roman" w:hAnsi="Times New Roman" w:cs="Times New Roman"/>
                <w:b/>
                <w:bCs/>
              </w:rPr>
            </w:pPr>
          </w:p>
        </w:tc>
        <w:tc>
          <w:tcPr>
            <w:tcW w:w="3551"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8665B1" w:rsidRPr="00525200" w:rsidRDefault="008665B1" w:rsidP="001064A6">
            <w:pPr>
              <w:jc w:val="center"/>
              <w:rPr>
                <w:rFonts w:ascii="Times New Roman" w:eastAsia="Times New Roman" w:hAnsi="Times New Roman" w:cs="Times New Roman"/>
                <w:b/>
                <w:bCs/>
              </w:rPr>
            </w:pPr>
          </w:p>
        </w:tc>
      </w:tr>
      <w:tr w:rsidR="008665B1" w:rsidRPr="00525200" w:rsidTr="008665B1">
        <w:trPr>
          <w:trHeight w:val="74"/>
          <w:jc w:val="center"/>
        </w:trPr>
        <w:tc>
          <w:tcPr>
            <w:tcW w:w="3550"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550"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551" w:type="dxa"/>
          </w:tcPr>
          <w:p w:rsidR="008665B1" w:rsidRPr="00525200" w:rsidRDefault="008665B1" w:rsidP="001064A6">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6F3344" w:rsidRPr="00525200" w:rsidRDefault="006F3344" w:rsidP="006F3344">
      <w:pPr>
        <w:spacing w:before="120" w:after="120"/>
        <w:jc w:val="center"/>
        <w:rPr>
          <w:rFonts w:ascii="Times New Roman" w:hAnsi="Times New Roman" w:cs="Times New Roman"/>
          <w:b/>
          <w:sz w:val="28"/>
          <w:szCs w:val="28"/>
        </w:rPr>
      </w:pPr>
      <w:r w:rsidRPr="00525200">
        <w:rPr>
          <w:rFonts w:ascii="Times New Roman" w:hAnsi="Times New Roman" w:cs="Times New Roman"/>
          <w:b/>
          <w:sz w:val="28"/>
          <w:szCs w:val="28"/>
        </w:rPr>
        <w:lastRenderedPageBreak/>
        <w:t>BẢN THUYẾT MINH BÁO CÁO TÀI CHÍNH</w:t>
      </w:r>
    </w:p>
    <w:p w:rsidR="006F3344" w:rsidRPr="00525200" w:rsidRDefault="00B215E1" w:rsidP="006F3344">
      <w:pPr>
        <w:spacing w:before="120" w:after="120"/>
        <w:ind w:left="709" w:hanging="709"/>
        <w:jc w:val="center"/>
        <w:rPr>
          <w:rFonts w:ascii="Times New Roman" w:hAnsi="Times New Roman" w:cs="Times New Roman"/>
          <w:b/>
          <w:sz w:val="23"/>
          <w:szCs w:val="23"/>
        </w:rPr>
      </w:pPr>
      <w:r w:rsidRPr="00525200">
        <w:rPr>
          <w:rFonts w:ascii="Times New Roman" w:hAnsi="Times New Roman" w:cs="Times New Roman"/>
          <w:b/>
          <w:sz w:val="23"/>
          <w:szCs w:val="23"/>
        </w:rPr>
        <w:t xml:space="preserve">Quý </w:t>
      </w:r>
      <w:r w:rsidR="001064A6">
        <w:rPr>
          <w:rFonts w:ascii="Times New Roman" w:hAnsi="Times New Roman" w:cs="Times New Roman"/>
          <w:b/>
          <w:sz w:val="23"/>
          <w:szCs w:val="23"/>
        </w:rPr>
        <w:t>4</w:t>
      </w:r>
      <w:r w:rsidRPr="00525200">
        <w:rPr>
          <w:rFonts w:ascii="Times New Roman" w:hAnsi="Times New Roman" w:cs="Times New Roman"/>
          <w:b/>
          <w:sz w:val="23"/>
          <w:szCs w:val="23"/>
        </w:rPr>
        <w:t xml:space="preserve"> năm 2013</w:t>
      </w:r>
    </w:p>
    <w:p w:rsidR="006F3344" w:rsidRPr="00525200" w:rsidRDefault="00B215E1" w:rsidP="00854414">
      <w:pPr>
        <w:tabs>
          <w:tab w:val="left" w:pos="2240"/>
        </w:tabs>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 </w:t>
      </w:r>
      <w:r w:rsidR="006F3344" w:rsidRPr="00525200">
        <w:rPr>
          <w:rFonts w:ascii="Times New Roman" w:hAnsi="Times New Roman" w:cs="Times New Roman"/>
          <w:b/>
          <w:sz w:val="23"/>
          <w:szCs w:val="23"/>
        </w:rPr>
        <w:t>ĐẶC ĐIỂM HOẠT ĐỘNG DOANH NGHIỆP</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Hình thức sở hữu vốn</w:t>
      </w:r>
    </w:p>
    <w:p w:rsidR="006F3344" w:rsidRPr="00525200" w:rsidRDefault="006F3344" w:rsidP="006F3344">
      <w:pPr>
        <w:pStyle w:val="Heading1"/>
        <w:spacing w:line="288" w:lineRule="auto"/>
        <w:rPr>
          <w:rFonts w:ascii="Times New Roman" w:eastAsia="Times New Roman" w:hAnsi="Times New Roman"/>
          <w:b w:val="0"/>
          <w:sz w:val="23"/>
          <w:szCs w:val="23"/>
          <w:lang w:val="en-GB"/>
        </w:rPr>
      </w:pPr>
      <w:r w:rsidRPr="00525200">
        <w:rPr>
          <w:rFonts w:ascii="Times New Roman" w:eastAsia="Times New Roman" w:hAnsi="Times New Roman"/>
          <w:b w:val="0"/>
          <w:sz w:val="23"/>
          <w:szCs w:val="23"/>
          <w:lang w:val="en-GB"/>
        </w:rPr>
        <w:t xml:space="preserve">Công ty Cổ phần Sông Đà Cao Cường là Công ty Cổ phần được thành lập theo Giấy chứng nhận đăng ký doanh nghiệp số 0800376530 do Sở kế hoạch và Đầu tư Tỉnh Hải Dương cấp lần đầu ngày 17 tháng 04 năm 2007. </w:t>
      </w:r>
      <w:proofErr w:type="gramStart"/>
      <w:r w:rsidRPr="00525200">
        <w:rPr>
          <w:rFonts w:ascii="Times New Roman" w:eastAsia="Times New Roman" w:hAnsi="Times New Roman"/>
          <w:b w:val="0"/>
          <w:sz w:val="23"/>
          <w:szCs w:val="23"/>
          <w:lang w:val="en-GB"/>
        </w:rPr>
        <w:t>Giấy chứng nhận đăng ký doanh nghiệp thay đổi lần thứ 07 ngày 16/05/2012.</w:t>
      </w:r>
      <w:proofErr w:type="gramEnd"/>
    </w:p>
    <w:p w:rsidR="006F3344" w:rsidRPr="00525200" w:rsidRDefault="006F3344" w:rsidP="006F3344">
      <w:pPr>
        <w:spacing w:line="288" w:lineRule="auto"/>
        <w:jc w:val="both"/>
        <w:rPr>
          <w:rFonts w:ascii="Times New Roman" w:hAnsi="Times New Roman" w:cs="Times New Roman"/>
          <w:b/>
          <w:sz w:val="17"/>
          <w:szCs w:val="23"/>
        </w:rPr>
      </w:pPr>
      <w:r w:rsidRPr="00525200">
        <w:rPr>
          <w:rFonts w:ascii="Times New Roman" w:hAnsi="Times New Roman" w:cs="Times New Roman"/>
          <w:sz w:val="23"/>
          <w:szCs w:val="23"/>
        </w:rPr>
        <w:t>Theo Giấy chứng nhận đăng ký doanh nghiệp số 0800376530 do Sở kế hoạch và Đầu tư Tỉnh Hải Dương cấp, vốn điều lệ của Công ty là 90.000.000.000VND (Chín mươi tỷ đồng).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2. Ngành nghề kinh doanh</w:t>
      </w:r>
    </w:p>
    <w:p w:rsidR="00D546F8" w:rsidRPr="00525200" w:rsidRDefault="006F3344" w:rsidP="00D546F8">
      <w:pPr>
        <w:spacing w:line="288" w:lineRule="auto"/>
        <w:jc w:val="both"/>
        <w:rPr>
          <w:rFonts w:ascii="Times New Roman" w:hAnsi="Times New Roman" w:cs="Times New Roman"/>
          <w:sz w:val="23"/>
          <w:szCs w:val="23"/>
        </w:rPr>
      </w:pPr>
      <w:r w:rsidRPr="00525200">
        <w:rPr>
          <w:rFonts w:ascii="Times New Roman" w:hAnsi="Times New Roman" w:cs="Times New Roman"/>
          <w:sz w:val="23"/>
          <w:szCs w:val="23"/>
        </w:rPr>
        <w:t>Sản xuất vật liệu xây dựng từ đất sét, chi tiết: Sản xuất vật liệu xây dựng</w:t>
      </w:r>
      <w:r w:rsidRPr="00525200">
        <w:rPr>
          <w:rFonts w:ascii="Times New Roman" w:hAnsi="Times New Roman" w:cs="Times New Roman"/>
          <w:b/>
          <w:sz w:val="23"/>
          <w:szCs w:val="23"/>
        </w:rPr>
        <w:t xml:space="preserve">. </w:t>
      </w:r>
      <w:r w:rsidRPr="00525200">
        <w:rPr>
          <w:rFonts w:ascii="Times New Roman" w:hAnsi="Times New Roman" w:cs="Times New Roman"/>
          <w:sz w:val="23"/>
          <w:szCs w:val="23"/>
        </w:rPr>
        <w:t>Khai thác, sản xuất, kinh doanh phụ gia dùng cho công tác bê tông và xi măng (tro bay Công ty Cổ phần Nhiệt điện Phả lại); Sản xuất mua bán than hoạt tính, than tổ ong, dầu thông, dầu tuyển, dầu diezen, dầu FO; Khai thác, chế biến khoáng sản (đá, quặng, than, cát, đất sét, cao lanh); Sản xuất và mua bán vật liệu xây dựng; Nghiên cứu, đào tạo, ứng dụng và chuyển giao công nghệ trong lĩnh vực sản xuất phụ gia dùng cho công tác bê tông, xi măng và vật liệu xây dựng; Mua bán hàng công nghệ phẩm, thực phẩm, thực phẩm chế biến đóng gói, đồ điện, điện tử, điện lạnh, máy và thiết bị văn phòng; Vận tải hàng hóa bằng ôtô và bằng tàu thủy; Xây dựng công trình: công nghiệp, giao thông, thủy lợi, dân dụng; xây dựng đường dây và trạm biến áp đến 220kv; xây dựng hệ thống cấp thoát nước dân dụng và công nghiệp; san lấp mặt bằng công trình; Mua bán vật tư, thiết bị phục vụ ngành xây dựng; Gia công cơ khí phi tiêu chuẩn và kết cấu thép trong xây dựng; Đầu tư, xây dựng, quản lý, vận hành, khai thác và kinh doanh điện của nhà máy thủy điện vừa và nhỏ; Mua bán phụ gia phục vụ sản xuất cho công tác phụ gia bê tông và xi măng; Mua bán phụ gia dùng cho bê tông và xi măng, vật liệu xây dựng.Tư vấn, thiết kế, chế tạo, chuyển giao công nghệ các dây chuyền công nghệ: xử lý môi trường, sản xuất vật liệu xây dựng.</w:t>
      </w:r>
    </w:p>
    <w:p w:rsidR="006F3344" w:rsidRPr="00525200" w:rsidRDefault="00B215E1" w:rsidP="00D546F8">
      <w:pPr>
        <w:spacing w:after="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II. </w:t>
      </w:r>
      <w:r w:rsidR="006F3344" w:rsidRPr="00525200">
        <w:rPr>
          <w:rFonts w:ascii="Times New Roman" w:hAnsi="Times New Roman" w:cs="Times New Roman"/>
          <w:b/>
          <w:sz w:val="23"/>
          <w:szCs w:val="23"/>
        </w:rPr>
        <w:t>NIÊN ĐỘ KẾ TOÁN, ĐƠN VỊ TIỀN TỆ SỬ DỤNG TRONG KẾ TOÁN</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 xml:space="preserve">Kỳ kế toán, đơn vị tiền tệ sử dụng trong kế toán </w:t>
      </w:r>
    </w:p>
    <w:p w:rsidR="006F3344" w:rsidRPr="00525200" w:rsidRDefault="006F3344" w:rsidP="006F3344">
      <w:pPr>
        <w:spacing w:before="60" w:after="60" w:line="288" w:lineRule="auto"/>
        <w:jc w:val="both"/>
        <w:rPr>
          <w:rFonts w:ascii="Times New Roman" w:hAnsi="Times New Roman" w:cs="Times New Roman"/>
          <w:b/>
          <w:i/>
          <w:iCs/>
          <w:sz w:val="23"/>
          <w:szCs w:val="23"/>
        </w:rPr>
      </w:pPr>
      <w:proofErr w:type="gramStart"/>
      <w:r w:rsidRPr="00525200">
        <w:rPr>
          <w:rFonts w:ascii="Times New Roman" w:hAnsi="Times New Roman" w:cs="Times New Roman"/>
          <w:sz w:val="23"/>
          <w:szCs w:val="23"/>
        </w:rPr>
        <w:t>Kỳ kế toán năm của Công ty bắt đầu từ ngày 01/01 và kết thúc vào ngày 31/12 hàng năm.</w:t>
      </w:r>
      <w:proofErr w:type="gramEnd"/>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Đơn vị tiền tệ sử dụng trong ghi chép kế toán là đồng Việt Nam (đ).</w:t>
      </w:r>
    </w:p>
    <w:p w:rsidR="006F3344" w:rsidRPr="00525200" w:rsidRDefault="00B215E1" w:rsidP="006F3344">
      <w:pPr>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III. </w:t>
      </w:r>
      <w:r w:rsidR="006F3344" w:rsidRPr="00525200">
        <w:rPr>
          <w:rFonts w:ascii="Times New Roman" w:hAnsi="Times New Roman" w:cs="Times New Roman"/>
          <w:b/>
          <w:sz w:val="23"/>
          <w:szCs w:val="23"/>
        </w:rPr>
        <w:t>CHUẨN MỰC VÀ CHẾ ĐỘ KẾ TOÁN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Chế độ kế toán áp dụng</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Công ty áp dụng Chế độ kế toán doanh nghiệp ban hành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Quyết định số 15/2006/QĐ - BTC ngày 20/3/2006 của Bộ trưởng Bộ Tài chính và Thông tư số 244/2009/TT-BTC ngày 31/12/2009 của Bộ Tài chính về việc hướng dẫn sửa đổi, bổ sung chế độ kế toán Doanh nghiệp. </w:t>
      </w:r>
    </w:p>
    <w:p w:rsidR="006F3344" w:rsidRPr="00525200" w:rsidRDefault="006F3344" w:rsidP="006F3344">
      <w:pPr>
        <w:spacing w:before="60" w:after="60" w:line="312" w:lineRule="auto"/>
        <w:jc w:val="both"/>
        <w:rPr>
          <w:rFonts w:ascii="Times New Roman" w:hAnsi="Times New Roman" w:cs="Times New Roman"/>
          <w:b/>
          <w:bCs/>
          <w:iCs/>
          <w:sz w:val="23"/>
          <w:szCs w:val="23"/>
        </w:rPr>
      </w:pPr>
      <w:r w:rsidRPr="00525200">
        <w:rPr>
          <w:rFonts w:ascii="Times New Roman" w:hAnsi="Times New Roman" w:cs="Times New Roman"/>
          <w:b/>
          <w:bCs/>
          <w:iCs/>
          <w:sz w:val="23"/>
          <w:szCs w:val="23"/>
        </w:rPr>
        <w:t>2. Tuyên bố về việc tuân thủ Chuẩn mực kế toán và Chế độ kế toán</w:t>
      </w:r>
    </w:p>
    <w:p w:rsidR="006F3344" w:rsidRPr="00525200" w:rsidRDefault="006F3344" w:rsidP="006F3344">
      <w:pPr>
        <w:spacing w:before="60" w:after="60" w:line="288" w:lineRule="auto"/>
        <w:jc w:val="both"/>
        <w:rPr>
          <w:rFonts w:ascii="Times New Roman" w:hAnsi="Times New Roman" w:cs="Times New Roman"/>
          <w:sz w:val="2"/>
          <w:szCs w:val="23"/>
        </w:rPr>
      </w:pPr>
      <w:r w:rsidRPr="00525200">
        <w:rPr>
          <w:rFonts w:ascii="Times New Roman" w:hAnsi="Times New Roman" w:cs="Times New Roman"/>
          <w:sz w:val="23"/>
          <w:szCs w:val="23"/>
        </w:rPr>
        <w:t xml:space="preserve">Công ty đã áp dụng các Chuẩn mực kế toán Việt Nam và các văn bản hướng dẫn Chuẩn mực do Nhà nước đã ban hành. Các báo cáo tài chính được lập và trình bày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đúng mọi quy định của từng chuẩn mực, thông tư hướng dẫn thực hiện chuẩn mực và Chế độ kế toán hiện hành đang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lastRenderedPageBreak/>
        <w:t>3. Hình thức kế toán áp dụng</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Công ty áp dụng hình thức kế toán trên máy </w:t>
      </w:r>
      <w:proofErr w:type="gramStart"/>
      <w:r w:rsidRPr="00525200">
        <w:rPr>
          <w:rFonts w:ascii="Times New Roman" w:hAnsi="Times New Roman" w:cs="Times New Roman"/>
          <w:sz w:val="23"/>
          <w:szCs w:val="23"/>
        </w:rPr>
        <w:t>vi</w:t>
      </w:r>
      <w:proofErr w:type="gramEnd"/>
      <w:r w:rsidRPr="00525200">
        <w:rPr>
          <w:rFonts w:ascii="Times New Roman" w:hAnsi="Times New Roman" w:cs="Times New Roman"/>
          <w:sz w:val="23"/>
          <w:szCs w:val="23"/>
        </w:rPr>
        <w:t xml:space="preserve"> tính: Nhật ký chung.</w:t>
      </w:r>
    </w:p>
    <w:p w:rsidR="006F3344" w:rsidRPr="00525200" w:rsidRDefault="00B215E1" w:rsidP="006F3344">
      <w:pPr>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IV. </w:t>
      </w:r>
      <w:r w:rsidR="006F3344" w:rsidRPr="00525200">
        <w:rPr>
          <w:rFonts w:ascii="Times New Roman" w:hAnsi="Times New Roman" w:cs="Times New Roman"/>
          <w:b/>
          <w:sz w:val="23"/>
          <w:szCs w:val="23"/>
        </w:rPr>
        <w:t>CÁC CHÍNH SÁCH KẾ TOÁN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Nguyên tắc ghi nhận các khoản tiền và các khoản tương đương tiền</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Các nghiệp vụ kinh tế phát sinh bằng ngoại tệ được quy đổi ra đồng Việt Nam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525200">
        <w:rPr>
          <w:rFonts w:ascii="Times New Roman" w:hAnsi="Times New Roman" w:cs="Times New Roman"/>
          <w:i/>
          <w:sz w:val="23"/>
          <w:szCs w:val="23"/>
        </w:rPr>
        <w:t xml:space="preserve">(Theo </w:t>
      </w:r>
      <w:r w:rsidRPr="00525200">
        <w:rPr>
          <w:rFonts w:ascii="Times New Roman" w:hAnsi="Times New Roman" w:cs="Times New Roman"/>
          <w:i/>
          <w:iCs/>
          <w:sz w:val="23"/>
          <w:szCs w:val="23"/>
          <w:lang w:val="nl-NL"/>
        </w:rPr>
        <w:t>Thông tư 179/2012/TT-BTC ngày 24 tháng 10 năm 2012 quy định về việc ghi nhận, đánh giá, xử lý các khoản chênh lệch tỷ giá hối đoái trong doanh nghiệp)</w:t>
      </w:r>
      <w:r w:rsidRPr="00525200">
        <w:rPr>
          <w:rFonts w:ascii="Times New Roman" w:hAnsi="Times New Roman" w:cs="Times New Roman"/>
          <w:i/>
          <w:sz w:val="23"/>
          <w:szCs w:val="23"/>
        </w:rPr>
        <w:t>;</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2. Nguyên tắc ghi nhận hàng tồn kho</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Hàng tồn kho được tính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Giá trị hàng tồn kho được xác định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bình quân gia quyền;</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Hàng tồn kho được hạch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kê khai thường xuyên; </w:t>
      </w:r>
    </w:p>
    <w:p w:rsidR="006F3344" w:rsidRPr="00525200" w:rsidRDefault="006F3344" w:rsidP="006F3344">
      <w:pPr>
        <w:spacing w:before="60" w:after="60" w:line="288" w:lineRule="auto"/>
        <w:jc w:val="both"/>
        <w:rPr>
          <w:rFonts w:ascii="Times New Roman" w:hAnsi="Times New Roman" w:cs="Times New Roman"/>
          <w:sz w:val="23"/>
          <w:szCs w:val="23"/>
        </w:rPr>
      </w:pPr>
      <w:proofErr w:type="gramStart"/>
      <w:r w:rsidRPr="00525200">
        <w:rPr>
          <w:rFonts w:ascii="Times New Roman" w:hAnsi="Times New Roman" w:cs="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3. Nguyên tắc ghi nhận và khấu hao tài sản cố định</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Tài sản cố định hữu hình, tài sản cố định vô hình được ghi nhận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giá gốc. Trong quá trình sử dụng, tài sản cố định hữu hình, tài sản cố định vô hình được ghi nhận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nguyên giá, hao mòn luỹ kế và giá trị còn lại;</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Khấu hao được trích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đường thẳng. Thời gian khấu hao áp dụng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Thông tư </w:t>
      </w:r>
      <w:r w:rsidR="00B03394" w:rsidRPr="00525200">
        <w:rPr>
          <w:rFonts w:ascii="Times New Roman" w:hAnsi="Times New Roman" w:cs="Times New Roman"/>
          <w:sz w:val="23"/>
          <w:szCs w:val="23"/>
        </w:rPr>
        <w:t>45</w:t>
      </w:r>
      <w:r w:rsidR="00396BD7" w:rsidRPr="00525200">
        <w:rPr>
          <w:rFonts w:ascii="Times New Roman" w:hAnsi="Times New Roman" w:cs="Times New Roman"/>
          <w:sz w:val="23"/>
          <w:szCs w:val="23"/>
        </w:rPr>
        <w:t>/2013</w:t>
      </w:r>
      <w:r w:rsidRPr="00525200">
        <w:rPr>
          <w:rFonts w:ascii="Times New Roman" w:hAnsi="Times New Roman" w:cs="Times New Roman"/>
          <w:sz w:val="23"/>
          <w:szCs w:val="23"/>
        </w:rPr>
        <w:t xml:space="preserve">/TT-BTC ngày </w:t>
      </w:r>
      <w:r w:rsidR="00396BD7" w:rsidRPr="00525200">
        <w:rPr>
          <w:rFonts w:ascii="Times New Roman" w:hAnsi="Times New Roman" w:cs="Times New Roman"/>
          <w:sz w:val="23"/>
          <w:szCs w:val="23"/>
        </w:rPr>
        <w:t>25/04/2013</w:t>
      </w:r>
      <w:r w:rsidRPr="00525200">
        <w:rPr>
          <w:rFonts w:ascii="Times New Roman" w:hAnsi="Times New Roman" w:cs="Times New Roman"/>
          <w:sz w:val="23"/>
          <w:szCs w:val="23"/>
        </w:rPr>
        <w:t xml:space="preserve">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6F3344" w:rsidRPr="00525200" w:rsidTr="00235165">
        <w:trPr>
          <w:trHeight w:hRule="exact" w:val="340"/>
        </w:trPr>
        <w:tc>
          <w:tcPr>
            <w:tcW w:w="4134" w:type="dxa"/>
            <w:vAlign w:val="center"/>
          </w:tcPr>
          <w:p w:rsidR="006F3344" w:rsidRPr="00525200" w:rsidRDefault="006F3344" w:rsidP="00235165">
            <w:pPr>
              <w:rPr>
                <w:rFonts w:ascii="Times New Roman" w:hAnsi="Times New Roman" w:cs="Times New Roman"/>
                <w:sz w:val="23"/>
                <w:szCs w:val="23"/>
              </w:rPr>
            </w:pPr>
            <w:r w:rsidRPr="00525200">
              <w:rPr>
                <w:rFonts w:ascii="Times New Roman" w:hAnsi="Times New Roman" w:cs="Times New Roman"/>
                <w:sz w:val="23"/>
                <w:szCs w:val="23"/>
              </w:rPr>
              <w:t>Nhà cửa, vật kiến trúc</w:t>
            </w:r>
          </w:p>
        </w:tc>
        <w:tc>
          <w:tcPr>
            <w:tcW w:w="2574" w:type="dxa"/>
            <w:vAlign w:val="center"/>
          </w:tcPr>
          <w:p w:rsidR="006F3344" w:rsidRPr="00525200" w:rsidRDefault="006F3344" w:rsidP="00235165">
            <w:pPr>
              <w:spacing w:before="80" w:after="80"/>
              <w:ind w:left="720" w:right="-28"/>
              <w:jc w:val="center"/>
              <w:rPr>
                <w:rFonts w:ascii="Times New Roman" w:hAnsi="Times New Roman" w:cs="Times New Roman"/>
                <w:sz w:val="23"/>
                <w:szCs w:val="23"/>
              </w:rPr>
            </w:pPr>
            <w:r w:rsidRPr="00525200">
              <w:rPr>
                <w:rFonts w:ascii="Times New Roman" w:hAnsi="Times New Roman" w:cs="Times New Roman"/>
                <w:sz w:val="23"/>
                <w:szCs w:val="23"/>
                <w:lang w:val="fr-FR"/>
              </w:rPr>
              <w:t>1</w:t>
            </w:r>
            <w:r w:rsidRPr="00525200">
              <w:rPr>
                <w:rFonts w:ascii="Times New Roman" w:hAnsi="Times New Roman" w:cs="Times New Roman"/>
                <w:sz w:val="23"/>
                <w:szCs w:val="23"/>
              </w:rPr>
              <w:t>0 - 20 năm</w:t>
            </w:r>
          </w:p>
        </w:tc>
      </w:tr>
      <w:tr w:rsidR="006F3344" w:rsidRPr="00525200" w:rsidTr="00235165">
        <w:trPr>
          <w:trHeight w:hRule="exact" w:val="340"/>
        </w:trPr>
        <w:tc>
          <w:tcPr>
            <w:tcW w:w="4134" w:type="dxa"/>
            <w:vAlign w:val="center"/>
          </w:tcPr>
          <w:p w:rsidR="006F3344" w:rsidRPr="00525200" w:rsidRDefault="006F3344" w:rsidP="00235165">
            <w:pPr>
              <w:rPr>
                <w:rFonts w:ascii="Times New Roman" w:hAnsi="Times New Roman" w:cs="Times New Roman"/>
                <w:sz w:val="23"/>
                <w:szCs w:val="23"/>
              </w:rPr>
            </w:pPr>
            <w:r w:rsidRPr="00525200">
              <w:rPr>
                <w:rFonts w:ascii="Times New Roman" w:hAnsi="Times New Roman" w:cs="Times New Roman"/>
                <w:sz w:val="23"/>
                <w:szCs w:val="23"/>
              </w:rPr>
              <w:t xml:space="preserve">Phương tiện vận tải  </w:t>
            </w:r>
          </w:p>
        </w:tc>
        <w:tc>
          <w:tcPr>
            <w:tcW w:w="2574" w:type="dxa"/>
            <w:vAlign w:val="center"/>
          </w:tcPr>
          <w:p w:rsidR="006F3344" w:rsidRPr="00525200" w:rsidRDefault="006F3344" w:rsidP="00235165">
            <w:pPr>
              <w:spacing w:before="80" w:after="80"/>
              <w:ind w:left="720" w:right="-28"/>
              <w:jc w:val="center"/>
              <w:rPr>
                <w:rFonts w:ascii="Times New Roman" w:hAnsi="Times New Roman" w:cs="Times New Roman"/>
                <w:sz w:val="23"/>
                <w:szCs w:val="23"/>
              </w:rPr>
            </w:pPr>
            <w:r w:rsidRPr="00525200">
              <w:rPr>
                <w:rFonts w:ascii="Times New Roman" w:hAnsi="Times New Roman" w:cs="Times New Roman"/>
                <w:sz w:val="23"/>
                <w:szCs w:val="23"/>
              </w:rPr>
              <w:t>06 - 10 năm</w:t>
            </w:r>
          </w:p>
        </w:tc>
      </w:tr>
    </w:tbl>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b/>
          <w:sz w:val="23"/>
          <w:szCs w:val="23"/>
        </w:rPr>
        <w:t>4. Nguyên tắc ghi nhận các khoản đầu tư tài chính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Khoản đầu tư vào công ty con, công ty liên kết được kế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các khoản đầu tư và được ghi nhận là khoản giảm trừ giá gốc đầu tư.</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Khoản đầu tư vào công ty liên doanh được kế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giá gốc. Khoản vốn góp liên doanh không điều chỉnh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thay đổi của phần sở hữu của công ty trong tài sản thuần của công ty liên doanh. Báo cáo Kết quả hoạt động kinh doanh của Công ty phản ánh khoản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nhập được chia từ lợi nhuận thuần luỹ kế của Công ty liên doanh phát sinh sau khi góp vốn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lastRenderedPageBreak/>
        <w:t xml:space="preserve">Hoạt động liên doanh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hình thức Hoạt động kinh doanh đồng kiểm soát và Tài sản đồng kiểm soát được Công ty áp dụng nguyên tắc kế toán chung như với các hoạt đông kinh doanh thông thường khác. Trong đó:</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Công ty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dõi riêng các khoản thu nhập, chi phí liên quan đến hoạt động liên doanh và thực hiện phân bổ cho các bên trong liên doanh theo hợp đồng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Công ty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dõi riêng tài sản góp vốn liên doanh, phần vốn góp vào tài sản đồng kiểm soát và các khoản công nợ chung, công nợ riêng phát sinh từ hoạt động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khoản đầu tư chứng khoán tại thời điểm báo cáo, nếu:</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thu hồi hoặc đáo hạn không quá 3 tháng kể từ ngày mua khoản đầu tư đó được coi là </w:t>
      </w:r>
      <w:proofErr w:type="gramStart"/>
      <w:r w:rsidRPr="00525200">
        <w:rPr>
          <w:rFonts w:ascii="Times New Roman" w:hAnsi="Times New Roman" w:cs="Times New Roman"/>
          <w:sz w:val="23"/>
          <w:szCs w:val="23"/>
        </w:rPr>
        <w:t>" tương</w:t>
      </w:r>
      <w:proofErr w:type="gramEnd"/>
      <w:r w:rsidRPr="00525200">
        <w:rPr>
          <w:rFonts w:ascii="Times New Roman" w:hAnsi="Times New Roman" w:cs="Times New Roman"/>
          <w:sz w:val="23"/>
          <w:szCs w:val="23"/>
        </w:rPr>
        <w:t xml:space="preserve"> đương tiền";</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vốn dưới 1 năm hoặc trong 1 chu kỳ kinh doanh được phân loại là tài sản ngắn hạn;</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vốn trên 1 năm hoặc hơn 1 chu kỳ kinh doanh được phân loại là tài sản dài hạn;</w:t>
      </w:r>
    </w:p>
    <w:p w:rsidR="006F3344" w:rsidRPr="00525200" w:rsidRDefault="006F3344" w:rsidP="006F3344">
      <w:pPr>
        <w:spacing w:before="60" w:after="60" w:line="312" w:lineRule="auto"/>
        <w:jc w:val="both"/>
        <w:rPr>
          <w:rFonts w:ascii="Times New Roman" w:hAnsi="Times New Roman" w:cs="Times New Roman"/>
          <w:sz w:val="23"/>
          <w:szCs w:val="23"/>
        </w:rPr>
      </w:pPr>
      <w:proofErr w:type="gramStart"/>
      <w:r w:rsidRPr="00525200">
        <w:rPr>
          <w:rFonts w:ascii="Times New Roman" w:hAnsi="Times New Roman" w:cs="Times New Roman"/>
          <w:sz w:val="23"/>
          <w:szCs w:val="23"/>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roofErr w:type="gramEnd"/>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5. Nguyên tắc ghi nhận và vốn hoá các khoản chi phí đi vay</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6F3344" w:rsidRPr="00525200" w:rsidRDefault="006F3344" w:rsidP="006F3344">
      <w:pPr>
        <w:spacing w:before="60" w:after="60" w:line="288" w:lineRule="auto"/>
        <w:rPr>
          <w:rFonts w:ascii="Times New Roman" w:hAnsi="Times New Roman" w:cs="Times New Roman"/>
          <w:b/>
          <w:sz w:val="23"/>
          <w:szCs w:val="23"/>
        </w:rPr>
      </w:pPr>
      <w:r w:rsidRPr="00525200">
        <w:rPr>
          <w:rFonts w:ascii="Times New Roman" w:hAnsi="Times New Roman" w:cs="Times New Roman"/>
          <w:b/>
          <w:sz w:val="23"/>
          <w:szCs w:val="23"/>
        </w:rPr>
        <w:t xml:space="preserve">6. </w:t>
      </w:r>
      <w:r w:rsidRPr="00525200">
        <w:rPr>
          <w:rFonts w:ascii="Times New Roman" w:hAnsi="Times New Roman" w:cs="Times New Roman"/>
          <w:b/>
          <w:bCs/>
          <w:iCs/>
          <w:sz w:val="23"/>
          <w:szCs w:val="23"/>
        </w:rPr>
        <w:t>Nguyên</w:t>
      </w:r>
      <w:r w:rsidRPr="00525200">
        <w:rPr>
          <w:rFonts w:ascii="Times New Roman" w:hAnsi="Times New Roman" w:cs="Times New Roman"/>
          <w:b/>
          <w:sz w:val="23"/>
          <w:szCs w:val="23"/>
        </w:rPr>
        <w:t xml:space="preserve"> tắc ghi nhận và phân bổ chi phí trả trước</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chi phí sau đây đã phát sinh trong năm tài chính nhưng được hạch toán vào chi phí trả trước dài hạn để phân bổ dần vào kết quả hoạt động kinh doanh trong nhiều năm:</w:t>
      </w:r>
    </w:p>
    <w:p w:rsidR="006F3344" w:rsidRPr="00525200" w:rsidRDefault="006F3344" w:rsidP="006F3344">
      <w:pPr>
        <w:numPr>
          <w:ilvl w:val="0"/>
          <w:numId w:val="28"/>
        </w:numPr>
        <w:spacing w:before="40" w:after="40" w:line="288" w:lineRule="auto"/>
        <w:jc w:val="both"/>
        <w:rPr>
          <w:rFonts w:ascii="Times New Roman" w:hAnsi="Times New Roman" w:cs="Times New Roman"/>
          <w:sz w:val="23"/>
          <w:szCs w:val="23"/>
        </w:rPr>
      </w:pPr>
      <w:r w:rsidRPr="00525200">
        <w:rPr>
          <w:rFonts w:ascii="Times New Roman" w:hAnsi="Times New Roman" w:cs="Times New Roman"/>
          <w:sz w:val="23"/>
          <w:szCs w:val="23"/>
        </w:rPr>
        <w:t>Công cụ dụng cụ xuất dùng có giá trị lớn;</w:t>
      </w:r>
    </w:p>
    <w:p w:rsidR="006F3344" w:rsidRPr="00525200" w:rsidRDefault="006F3344" w:rsidP="006F3344">
      <w:pPr>
        <w:numPr>
          <w:ilvl w:val="0"/>
          <w:numId w:val="28"/>
        </w:numPr>
        <w:spacing w:before="40" w:after="4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Chi phí sửa chữa lớn TSCĐ; </w:t>
      </w:r>
    </w:p>
    <w:p w:rsidR="006F3344" w:rsidRPr="00525200" w:rsidRDefault="006F3344" w:rsidP="006F3344">
      <w:pPr>
        <w:spacing w:before="60" w:after="60" w:line="312" w:lineRule="auto"/>
        <w:jc w:val="both"/>
        <w:rPr>
          <w:rFonts w:ascii="Times New Roman" w:hAnsi="Times New Roman" w:cs="Times New Roman"/>
          <w:iCs/>
          <w:sz w:val="23"/>
          <w:szCs w:val="23"/>
        </w:rPr>
      </w:pPr>
      <w:r w:rsidRPr="00525200">
        <w:rPr>
          <w:rFonts w:ascii="Times New Roman" w:hAnsi="Times New Roman" w:cs="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525200">
        <w:rPr>
          <w:rFonts w:ascii="Times New Roman" w:hAnsi="Times New Roman" w:cs="Times New Roman"/>
          <w:iCs/>
          <w:sz w:val="23"/>
          <w:szCs w:val="23"/>
        </w:rPr>
        <w:t xml:space="preserve">Chi phí trả trước được phân bổ dần vào chi phí sản xuất kinh doanh </w:t>
      </w:r>
      <w:proofErr w:type="gramStart"/>
      <w:r w:rsidRPr="00525200">
        <w:rPr>
          <w:rFonts w:ascii="Times New Roman" w:hAnsi="Times New Roman" w:cs="Times New Roman"/>
          <w:iCs/>
          <w:sz w:val="23"/>
          <w:szCs w:val="23"/>
        </w:rPr>
        <w:t>theo</w:t>
      </w:r>
      <w:proofErr w:type="gramEnd"/>
      <w:r w:rsidRPr="00525200">
        <w:rPr>
          <w:rFonts w:ascii="Times New Roman" w:hAnsi="Times New Roman" w:cs="Times New Roman"/>
          <w:iCs/>
          <w:sz w:val="23"/>
          <w:szCs w:val="23"/>
        </w:rPr>
        <w:t xml:space="preserve"> phương pháp đường thẳng. </w:t>
      </w:r>
      <w:r w:rsidRPr="00525200">
        <w:rPr>
          <w:rFonts w:ascii="Times New Roman" w:hAnsi="Times New Roman" w:cs="Times New Roman"/>
          <w:i/>
          <w:iCs/>
          <w:sz w:val="23"/>
          <w:szCs w:val="23"/>
          <w:u w:val="single"/>
        </w:rPr>
        <w:t xml:space="preserve">  </w:t>
      </w:r>
    </w:p>
    <w:p w:rsidR="006F3344" w:rsidRPr="00525200" w:rsidRDefault="006F3344" w:rsidP="006F3344">
      <w:pPr>
        <w:spacing w:before="60" w:after="60" w:line="312" w:lineRule="auto"/>
        <w:jc w:val="both"/>
        <w:rPr>
          <w:rFonts w:ascii="Times New Roman" w:hAnsi="Times New Roman" w:cs="Times New Roman"/>
          <w:b/>
          <w:iCs/>
          <w:sz w:val="23"/>
          <w:szCs w:val="23"/>
        </w:rPr>
      </w:pPr>
      <w:r w:rsidRPr="00525200">
        <w:rPr>
          <w:rFonts w:ascii="Times New Roman" w:hAnsi="Times New Roman" w:cs="Times New Roman"/>
          <w:b/>
          <w:iCs/>
          <w:sz w:val="23"/>
          <w:szCs w:val="23"/>
        </w:rPr>
        <w:t>7. Nguyên tắc ghi nhận quỹ dự phòng trợ cấp mất việc làm</w:t>
      </w:r>
    </w:p>
    <w:p w:rsidR="006F3344" w:rsidRPr="00525200" w:rsidRDefault="006F3344" w:rsidP="006F3344">
      <w:pPr>
        <w:spacing w:before="60" w:after="60" w:line="312" w:lineRule="auto"/>
        <w:jc w:val="both"/>
        <w:rPr>
          <w:rFonts w:ascii="Times New Roman" w:hAnsi="Times New Roman" w:cs="Times New Roman"/>
          <w:iCs/>
          <w:sz w:val="23"/>
          <w:szCs w:val="23"/>
        </w:rPr>
      </w:pPr>
      <w:r w:rsidRPr="00525200">
        <w:rPr>
          <w:rFonts w:ascii="Times New Roman" w:hAnsi="Times New Roman" w:cs="Times New Roman"/>
          <w:iCs/>
          <w:sz w:val="23"/>
          <w:szCs w:val="23"/>
        </w:rPr>
        <w:lastRenderedPageBreak/>
        <w:t>Năm 201</w:t>
      </w:r>
      <w:r w:rsidR="00304D25" w:rsidRPr="00525200">
        <w:rPr>
          <w:rFonts w:ascii="Times New Roman" w:hAnsi="Times New Roman" w:cs="Times New Roman"/>
          <w:iCs/>
          <w:sz w:val="23"/>
          <w:szCs w:val="23"/>
        </w:rPr>
        <w:t>3</w:t>
      </w:r>
      <w:r w:rsidRPr="00525200">
        <w:rPr>
          <w:rFonts w:ascii="Times New Roman" w:hAnsi="Times New Roman" w:cs="Times New Roman"/>
          <w:iCs/>
          <w:sz w:val="23"/>
          <w:szCs w:val="23"/>
        </w:rPr>
        <w:t xml:space="preserve">, Công ty áp dụng việc chi trả trợ cấp mất việc làm </w:t>
      </w:r>
      <w:proofErr w:type="gramStart"/>
      <w:r w:rsidRPr="00525200">
        <w:rPr>
          <w:rFonts w:ascii="Times New Roman" w:hAnsi="Times New Roman" w:cs="Times New Roman"/>
          <w:iCs/>
          <w:sz w:val="23"/>
          <w:szCs w:val="23"/>
        </w:rPr>
        <w:t>theo</w:t>
      </w:r>
      <w:proofErr w:type="gramEnd"/>
      <w:r w:rsidRPr="00525200">
        <w:rPr>
          <w:rFonts w:ascii="Times New Roman" w:hAnsi="Times New Roman" w:cs="Times New Roman"/>
          <w:iCs/>
          <w:sz w:val="23"/>
          <w:szCs w:val="23"/>
        </w:rPr>
        <w:t xml:space="preserve"> Thông 180/2012/TT-BTC ngày 24/10/2012 hướng dẫn xử lý tài chính về chi trợ cấp mất việc làm cho người lao động tại doanh nghiệp. Theo đó, khi phát sinh chi trợ cấp mất việc làm Công ty hạch toán khoản chi trợ cấp mất việc làm cho người </w:t>
      </w:r>
      <w:proofErr w:type="gramStart"/>
      <w:r w:rsidRPr="00525200">
        <w:rPr>
          <w:rFonts w:ascii="Times New Roman" w:hAnsi="Times New Roman" w:cs="Times New Roman"/>
          <w:iCs/>
          <w:sz w:val="23"/>
          <w:szCs w:val="23"/>
        </w:rPr>
        <w:t>lao</w:t>
      </w:r>
      <w:proofErr w:type="gramEnd"/>
      <w:r w:rsidRPr="00525200">
        <w:rPr>
          <w:rFonts w:ascii="Times New Roman" w:hAnsi="Times New Roman" w:cs="Times New Roman"/>
          <w:iCs/>
          <w:sz w:val="23"/>
          <w:szCs w:val="23"/>
        </w:rPr>
        <w:t xml:space="preserve"> động theo quy định tại Thông tư này vào chi phí quản lý doanh nghiệp. </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8. Nguyên tắc ghi nhận vốn chủ sở hữu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ml:space="preserve">Vốn </w:t>
      </w:r>
      <w:r w:rsidRPr="00525200">
        <w:rPr>
          <w:rFonts w:ascii="Times New Roman" w:hAnsi="Times New Roman" w:cs="Times New Roman"/>
          <w:iCs/>
          <w:sz w:val="23"/>
          <w:szCs w:val="23"/>
        </w:rPr>
        <w:t>đầu</w:t>
      </w:r>
      <w:r w:rsidRPr="00525200">
        <w:rPr>
          <w:rFonts w:ascii="Times New Roman" w:hAnsi="Times New Roman" w:cs="Times New Roman"/>
          <w:iCs/>
          <w:sz w:val="23"/>
          <w:szCs w:val="23"/>
          <w:lang w:val="nl-NL"/>
        </w:rPr>
        <w:t xml:space="preserve"> tư của chủ sở hữu được ghi nhận theo số vốn thực góp của chủ sở hữu.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Thặng dư vốn cổ phần được ghi nhận theo số chênh lệch lớn hơn hoặc nhỏ hơn giữa giá thực tế phát hành và mệnh giá cổ phiếu khi phát hành cổ phiếu lần đầu, phát hành bổ sung hoặc tái phát hành cổ phiếu quỹ;</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6F3344" w:rsidRPr="00525200" w:rsidRDefault="006F3344" w:rsidP="006F3344">
      <w:pPr>
        <w:spacing w:before="60" w:after="60" w:line="288" w:lineRule="auto"/>
        <w:rPr>
          <w:rFonts w:ascii="Times New Roman" w:hAnsi="Times New Roman" w:cs="Times New Roman"/>
          <w:b/>
          <w:bCs/>
          <w:iCs/>
          <w:sz w:val="23"/>
          <w:szCs w:val="23"/>
          <w:lang w:val="nl-NL"/>
        </w:rPr>
      </w:pPr>
      <w:r w:rsidRPr="00525200">
        <w:rPr>
          <w:rFonts w:ascii="Times New Roman" w:hAnsi="Times New Roman" w:cs="Times New Roman"/>
          <w:b/>
          <w:bCs/>
          <w:iCs/>
          <w:sz w:val="23"/>
          <w:szCs w:val="23"/>
          <w:lang w:val="nl-NL"/>
        </w:rPr>
        <w:t>9. Nguyên tắc và phương pháp ghi nhận doanh thu</w:t>
      </w:r>
    </w:p>
    <w:p w:rsidR="006F3344" w:rsidRPr="00525200" w:rsidRDefault="006F3344" w:rsidP="006F3344">
      <w:pPr>
        <w:spacing w:before="60" w:after="60" w:line="288" w:lineRule="auto"/>
        <w:jc w:val="both"/>
        <w:rPr>
          <w:rFonts w:ascii="Times New Roman" w:hAnsi="Times New Roman" w:cs="Times New Roman"/>
          <w:i/>
          <w:iCs/>
          <w:sz w:val="23"/>
          <w:szCs w:val="23"/>
          <w:lang w:val="nl-NL"/>
        </w:rPr>
      </w:pPr>
      <w:r w:rsidRPr="00525200">
        <w:rPr>
          <w:rFonts w:ascii="Times New Roman" w:hAnsi="Times New Roman" w:cs="Times New Roman"/>
          <w:i/>
          <w:iCs/>
          <w:sz w:val="23"/>
          <w:szCs w:val="23"/>
          <w:lang w:val="nl-NL"/>
        </w:rPr>
        <w:t>Doanh thu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bán hàng được ghi nhận khi đồng thời thỏa mãn các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Phần lớn rủi ro và lợi ích gắn liền với quyền sở hữu sản phẩm hoặc hàng hóa đã được chuyển giao cho người mua;</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Công ty không còn nắm giữ quyền quản lý hàng hóa như người sở hữu hàng hóa hoặc quyền kiểm soát hàng hóa;</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Công ty đã thu được hoặc sẽ thu được lợi ích kinh tế từ giao dịch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chi phí liên quan đến giao dịch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
          <w:iCs/>
          <w:sz w:val="23"/>
          <w:szCs w:val="23"/>
          <w:lang w:val="nl-NL"/>
        </w:rPr>
        <w:t>Doanh thu cung cấp dịch vụ</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Có khả năng thu được lợi ích kinh tế từ giao dịch cung cấp dịch vụ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phần công việc đã hoàn thành vào ngày lập Bảng cân đối kế toán;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chi phí phát sinh cho giao dịch và chi phí để hoàn thành giao dịch cung cấp dịch vụ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ml:space="preserve">Phần công việc cung cấp dịch vụ đã hoàn thành được xác định theo phương pháp đánh giá công việc hoàn thành.  </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
          <w:iCs/>
          <w:sz w:val="23"/>
          <w:szCs w:val="23"/>
          <w:lang w:val="nl-NL"/>
        </w:rPr>
        <w:lastRenderedPageBreak/>
        <w:t xml:space="preserve"> Doanh thu hoạt động tài chính</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Có khả năng thu được lợi ích kinh tế từ giao dịch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Cổ tức, lợi nhuận được chia được ghi nhận khi Công ty được quyền nhận cổ tức hoặc được quyền nhận lợi nhuận từ việc góp vốn.</w:t>
      </w:r>
    </w:p>
    <w:p w:rsidR="006F3344" w:rsidRPr="00525200" w:rsidRDefault="006F3344" w:rsidP="006F3344">
      <w:pPr>
        <w:spacing w:before="60" w:after="60" w:line="288" w:lineRule="auto"/>
        <w:jc w:val="both"/>
        <w:rPr>
          <w:rFonts w:ascii="Times New Roman" w:hAnsi="Times New Roman" w:cs="Times New Roman"/>
          <w:i/>
          <w:sz w:val="23"/>
          <w:szCs w:val="23"/>
          <w:lang w:val="nl-NL"/>
        </w:rPr>
      </w:pPr>
      <w:r w:rsidRPr="00525200">
        <w:rPr>
          <w:rFonts w:ascii="Times New Roman" w:hAnsi="Times New Roman" w:cs="Times New Roman"/>
          <w:i/>
          <w:sz w:val="23"/>
          <w:szCs w:val="23"/>
          <w:lang w:val="nl-NL"/>
        </w:rPr>
        <w:t>Doanh thu hợp đồng xây dựng</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 xml:space="preserve">Doanh thu hợp đồng xây dựng được ghi nhận khi kết quả thực hiện hợp đồng xây dựng được xác định một </w:t>
      </w:r>
      <w:r w:rsidRPr="00525200">
        <w:rPr>
          <w:rFonts w:ascii="Times New Roman" w:hAnsi="Times New Roman" w:cs="Times New Roman"/>
          <w:iCs/>
          <w:sz w:val="23"/>
          <w:szCs w:val="23"/>
          <w:lang w:val="nl-NL"/>
        </w:rPr>
        <w:t>cách</w:t>
      </w:r>
      <w:r w:rsidRPr="00525200">
        <w:rPr>
          <w:rFonts w:ascii="Times New Roman" w:hAnsi="Times New Roman" w:cs="Times New Roman"/>
          <w:sz w:val="23"/>
          <w:szCs w:val="23"/>
          <w:lang w:val="nl-NL"/>
        </w:rPr>
        <w:t xml:space="preserve"> </w:t>
      </w:r>
      <w:r w:rsidRPr="00525200">
        <w:rPr>
          <w:rFonts w:ascii="Times New Roman" w:hAnsi="Times New Roman" w:cs="Times New Roman"/>
          <w:iCs/>
          <w:sz w:val="23"/>
          <w:szCs w:val="23"/>
          <w:lang w:val="nl-NL"/>
        </w:rPr>
        <w:t>đáng</w:t>
      </w:r>
      <w:r w:rsidRPr="00525200">
        <w:rPr>
          <w:rFonts w:ascii="Times New Roman" w:hAnsi="Times New Roman" w:cs="Times New Roman"/>
          <w:sz w:val="23"/>
          <w:szCs w:val="23"/>
          <w:lang w:val="nl-NL"/>
        </w:rPr>
        <w:t xml:space="preserve"> tin cậy và được khách hàng xác nhận thì doanh thu và chi phí liên quan đến hợp </w:t>
      </w:r>
      <w:r w:rsidRPr="00525200">
        <w:rPr>
          <w:rFonts w:ascii="Times New Roman" w:hAnsi="Times New Roman" w:cs="Times New Roman"/>
          <w:iCs/>
          <w:sz w:val="23"/>
          <w:szCs w:val="23"/>
          <w:lang w:val="nl-NL"/>
        </w:rPr>
        <w:t>đồng</w:t>
      </w:r>
      <w:r w:rsidRPr="00525200">
        <w:rPr>
          <w:rFonts w:ascii="Times New Roman" w:hAnsi="Times New Roman" w:cs="Times New Roman"/>
          <w:sz w:val="23"/>
          <w:szCs w:val="23"/>
          <w:lang w:val="nl-NL"/>
        </w:rPr>
        <w:t xml:space="preserve"> được ghi nhận tương ứng với phần công việc đã hoàn thành trong kỳ phản ánh trên hóa đơn đã lập.</w:t>
      </w:r>
    </w:p>
    <w:p w:rsidR="006F3344" w:rsidRPr="00525200" w:rsidRDefault="006F3344" w:rsidP="006F3344">
      <w:pPr>
        <w:spacing w:before="60" w:after="60" w:line="288" w:lineRule="auto"/>
        <w:rPr>
          <w:rFonts w:ascii="Times New Roman" w:hAnsi="Times New Roman" w:cs="Times New Roman"/>
          <w:b/>
          <w:bCs/>
          <w:iCs/>
          <w:sz w:val="23"/>
          <w:szCs w:val="23"/>
          <w:lang w:val="nl-NL"/>
        </w:rPr>
      </w:pPr>
      <w:r w:rsidRPr="00525200">
        <w:rPr>
          <w:rFonts w:ascii="Times New Roman" w:hAnsi="Times New Roman" w:cs="Times New Roman"/>
          <w:b/>
          <w:bCs/>
          <w:iCs/>
          <w:sz w:val="23"/>
          <w:szCs w:val="23"/>
          <w:lang w:val="nl-NL"/>
        </w:rPr>
        <w:t>10. Nguyên tắc và phương pháp ghi nhận chi phí tài chính</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 xml:space="preserve">Các </w:t>
      </w:r>
      <w:r w:rsidRPr="00525200">
        <w:rPr>
          <w:rFonts w:ascii="Times New Roman" w:hAnsi="Times New Roman" w:cs="Times New Roman"/>
          <w:iCs/>
          <w:sz w:val="23"/>
          <w:szCs w:val="23"/>
          <w:lang w:val="nl-NL"/>
        </w:rPr>
        <w:t>khoản</w:t>
      </w:r>
      <w:r w:rsidRPr="00525200">
        <w:rPr>
          <w:rFonts w:ascii="Times New Roman" w:hAnsi="Times New Roman" w:cs="Times New Roman"/>
          <w:sz w:val="23"/>
          <w:szCs w:val="23"/>
          <w:lang w:val="nl-NL"/>
        </w:rPr>
        <w:t xml:space="preserve"> chi phí được ghi nhận vào chi phí tài chính gồm:</w:t>
      </w:r>
    </w:p>
    <w:p w:rsidR="006F3344" w:rsidRPr="00525200"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cho vay và đi vay vốn;</w:t>
      </w:r>
    </w:p>
    <w:p w:rsidR="006F3344" w:rsidRPr="00525200"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Các khoản lỗ do thay đổi tỷ giá hối đoái của các nghiệp vụ phát sinh liên quan đến ngoại tệ.</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Các khoản trên được ghi nhận theo tổng số phát sinh trong kỳ, không bù trừ với doanh thu hoạt động tài chính.</w:t>
      </w:r>
    </w:p>
    <w:p w:rsidR="006F3344" w:rsidRPr="00525200" w:rsidRDefault="006F3344" w:rsidP="006F3344">
      <w:pPr>
        <w:spacing w:before="60" w:after="60" w:line="288" w:lineRule="auto"/>
        <w:rPr>
          <w:rFonts w:ascii="Times New Roman" w:hAnsi="Times New Roman" w:cs="Times New Roman"/>
          <w:b/>
          <w:sz w:val="23"/>
          <w:szCs w:val="23"/>
          <w:lang w:val="nl-NL"/>
        </w:rPr>
      </w:pPr>
      <w:r w:rsidRPr="00525200">
        <w:rPr>
          <w:rFonts w:ascii="Times New Roman" w:hAnsi="Times New Roman" w:cs="Times New Roman"/>
          <w:b/>
          <w:sz w:val="23"/>
          <w:szCs w:val="23"/>
          <w:lang w:val="nl-NL"/>
        </w:rPr>
        <w:t>11. Nguyên tắc và phương pháp ghi nhận chi phí thuế thu nhập doanh nghiệp hiện hành, chi phí thuế thu nhập doanh nghiệp hoãn lại</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Thuế thu nhập doanh nghiệp thể hiện tổng giá trị của số thuế phải trả hiện tại và số thuế hoãn lại.</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thuế thu nhập doanh nghiệp hiện hành được xác định trên cơ sở thu nhập chịu thuế và thuế suất thuế TNDN trong năm hiện hành.</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thuế thu nhập doanh nghiệp hoãn lại được xác định trên cơ sở số chênh lệch tạm thời được khấu trừ, số chênh lệch tạm thời chịu thuế và thuế suất thuế TNDN.</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Theo Công văn số 2660/CV-TTHT ngày 31/12/2007 của Cục thuế tỉnh Hải Dương về việc trả lời chính sách thuế thì “Công ty Cổ phần Sông Đà 12 - Cao Cường mới được thành lập từ dự án đầu tư vào ngành nghề, lĩnh vực thuộc danh mục lĩnh vực đặc biệt ưu đãi đầu tư được miễn thuế 04 năm kể từ khi có thu nhập chịu thuế và giảm 50% số thuế phải nộp cho 9 năm tiếp theo; được áp dụng thuế suất 10% trong thời hạn 15 năm kể từ khi bắt đầu đi vào hoạt động”. Năm 2012 là năm đầu tiên Công ty được giảm 50% số thuế TNDN phải nộp.</w:t>
      </w:r>
    </w:p>
    <w:p w:rsidR="006F3344" w:rsidRPr="00525200" w:rsidRDefault="006F3344" w:rsidP="006F3344">
      <w:pPr>
        <w:spacing w:before="60" w:after="60" w:line="288" w:lineRule="auto"/>
        <w:rPr>
          <w:rFonts w:ascii="Times New Roman" w:hAnsi="Times New Roman" w:cs="Times New Roman"/>
          <w:bCs/>
          <w:iCs/>
          <w:sz w:val="23"/>
          <w:szCs w:val="23"/>
          <w:lang w:val="nl-NL"/>
        </w:rPr>
      </w:pPr>
      <w:r w:rsidRPr="00525200">
        <w:rPr>
          <w:rFonts w:ascii="Times New Roman" w:hAnsi="Times New Roman" w:cs="Times New Roman"/>
          <w:b/>
          <w:sz w:val="23"/>
          <w:szCs w:val="23"/>
          <w:lang w:val="nl-NL"/>
        </w:rPr>
        <w:t xml:space="preserve">12. </w:t>
      </w:r>
      <w:r w:rsidRPr="00525200">
        <w:rPr>
          <w:rFonts w:ascii="Times New Roman" w:hAnsi="Times New Roman" w:cs="Times New Roman"/>
          <w:b/>
          <w:bCs/>
          <w:iCs/>
          <w:sz w:val="23"/>
          <w:szCs w:val="23"/>
          <w:lang w:val="nl-NL"/>
        </w:rPr>
        <w:t>Công cụ tài chính</w:t>
      </w:r>
    </w:p>
    <w:p w:rsidR="006F3344" w:rsidRPr="00525200" w:rsidRDefault="006F3344" w:rsidP="006F3344">
      <w:pPr>
        <w:spacing w:before="60" w:after="60" w:line="288" w:lineRule="auto"/>
        <w:jc w:val="both"/>
        <w:rPr>
          <w:rFonts w:ascii="Times New Roman" w:hAnsi="Times New Roman" w:cs="Times New Roman"/>
          <w:bCs/>
          <w:i/>
          <w:iCs/>
          <w:sz w:val="23"/>
          <w:szCs w:val="23"/>
          <w:lang w:val="nl-NL"/>
        </w:rPr>
      </w:pPr>
      <w:r w:rsidRPr="00525200">
        <w:rPr>
          <w:rFonts w:ascii="Times New Roman" w:hAnsi="Times New Roman" w:cs="Times New Roman"/>
          <w:bCs/>
          <w:iCs/>
          <w:sz w:val="23"/>
          <w:szCs w:val="23"/>
          <w:lang w:val="nl-NL"/>
        </w:rPr>
        <w:t xml:space="preserve">Công cụ tài chính được ghi nhận phù hợp với huớng dẫn tại Thông tư số 210/2009/TT-BTC ngày 6 tháng 11 năm 2009 của Bộ Tài chính- </w:t>
      </w:r>
      <w:r w:rsidRPr="00525200">
        <w:rPr>
          <w:rFonts w:ascii="Times New Roman" w:hAnsi="Times New Roman" w:cs="Times New Roman"/>
          <w:bCs/>
          <w:i/>
          <w:iCs/>
          <w:sz w:val="23"/>
          <w:szCs w:val="23"/>
          <w:lang w:val="nl-NL"/>
        </w:rPr>
        <w:t>huớng dẫn áp dụng Chuẩn mực kế toán quốc tế về trình bày báo cáo tài chính và thuyết minh thông tin đối với công cụ tài chính.</w:t>
      </w: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Cs/>
          <w:sz w:val="23"/>
          <w:szCs w:val="23"/>
          <w:lang w:val="nl-NL"/>
        </w:rPr>
      </w:pPr>
    </w:p>
    <w:tbl>
      <w:tblPr>
        <w:tblW w:w="9592" w:type="dxa"/>
        <w:tblInd w:w="93" w:type="dxa"/>
        <w:tblLook w:val="04A0" w:firstRow="1" w:lastRow="0" w:firstColumn="1" w:lastColumn="0" w:noHBand="0" w:noVBand="1"/>
      </w:tblPr>
      <w:tblGrid>
        <w:gridCol w:w="4977"/>
        <w:gridCol w:w="2147"/>
        <w:gridCol w:w="688"/>
        <w:gridCol w:w="1780"/>
      </w:tblGrid>
      <w:tr w:rsidR="00180703" w:rsidRPr="00525200"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01. Tiền</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930.004.000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668.712.000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3.719.297.204</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1.287.159.839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4.649.304.204</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1.955.871.839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102.246.960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140.161.929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102.246.960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140.161.929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525200" w:rsidRDefault="008C4809"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14.496.251.505</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5.911.510.336</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139.423.742</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121.040.527</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525200" w:rsidRDefault="008C4809"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21.087.361.574</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12.632.657.590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525200" w:rsidRDefault="008C4809"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13.829.470.062</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32.065.875.140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525200" w:rsidRDefault="008C4809"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267.728.823</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108.663.998</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476376"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49.820.235.706</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50.839.747.591</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Đầu năm</w:t>
            </w:r>
          </w:p>
        </w:tc>
      </w:tr>
      <w:tr w:rsidR="00180703" w:rsidRPr="00525200" w:rsidTr="00E41208">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tcPr>
          <w:p w:rsidR="00180703" w:rsidRPr="00525200"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E41208">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tcPr>
          <w:p w:rsidR="00180703" w:rsidRPr="00525200"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Đầu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445.079.203</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517.712.950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064A6"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447.079.203</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517.712.950</w:t>
            </w:r>
          </w:p>
        </w:tc>
      </w:tr>
    </w:tbl>
    <w:p w:rsidR="006F3344" w:rsidRPr="00525200" w:rsidRDefault="006F3344">
      <w:pPr>
        <w:rPr>
          <w:rFonts w:ascii="Times New Roman" w:hAnsi="Times New Roman" w:cs="Times New Roman"/>
        </w:rPr>
      </w:pPr>
    </w:p>
    <w:p w:rsidR="006F3344" w:rsidRPr="00525200" w:rsidRDefault="006F3344">
      <w:pPr>
        <w:rPr>
          <w:rFonts w:ascii="Times New Roman" w:hAnsi="Times New Roman" w:cs="Times New Roman"/>
        </w:rPr>
      </w:pPr>
    </w:p>
    <w:p w:rsidR="00E55AA5" w:rsidRPr="00525200" w:rsidRDefault="00E55AA5">
      <w:pPr>
        <w:rPr>
          <w:rFonts w:ascii="Times New Roman" w:hAnsi="Times New Roman" w:cs="Times New Roman"/>
        </w:rPr>
      </w:pPr>
    </w:p>
    <w:p w:rsidR="00E55AA5" w:rsidRPr="00525200" w:rsidRDefault="00E55AA5">
      <w:pPr>
        <w:rPr>
          <w:rFonts w:ascii="Times New Roman" w:hAnsi="Times New Roman" w:cs="Times New Roman"/>
        </w:rPr>
      </w:pPr>
    </w:p>
    <w:p w:rsidR="00E55AA5" w:rsidRPr="00525200" w:rsidRDefault="00E55AA5">
      <w:pPr>
        <w:rPr>
          <w:rFonts w:ascii="Times New Roman" w:hAnsi="Times New Roman" w:cs="Times New Roman"/>
        </w:rPr>
      </w:pPr>
    </w:p>
    <w:p w:rsidR="00E41208" w:rsidRPr="00525200" w:rsidRDefault="00E41208">
      <w:pPr>
        <w:rPr>
          <w:rFonts w:ascii="Times New Roman" w:hAnsi="Times New Roman" w:cs="Times New Roman"/>
        </w:rPr>
      </w:pPr>
    </w:p>
    <w:p w:rsidR="00E41208" w:rsidRPr="00525200" w:rsidRDefault="00E41208">
      <w:pPr>
        <w:rPr>
          <w:rFonts w:ascii="Times New Roman" w:hAnsi="Times New Roman" w:cs="Times New Roman"/>
        </w:rPr>
      </w:pPr>
    </w:p>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550"/>
        <w:gridCol w:w="1369"/>
        <w:gridCol w:w="197"/>
        <w:gridCol w:w="1221"/>
        <w:gridCol w:w="145"/>
        <w:gridCol w:w="1350"/>
        <w:gridCol w:w="1283"/>
        <w:gridCol w:w="317"/>
      </w:tblGrid>
      <w:tr w:rsidR="00173C90" w:rsidRPr="00525200" w:rsidTr="00DF5F80">
        <w:trPr>
          <w:gridAfter w:val="1"/>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Cs w:val="20"/>
              </w:rPr>
            </w:pPr>
            <w:r w:rsidRPr="00525200">
              <w:rPr>
                <w:rFonts w:ascii="Times New Roman" w:eastAsia="Times New Roman" w:hAnsi="Times New Roman" w:cs="Times New Roman"/>
                <w:b/>
                <w:bCs/>
                <w:szCs w:val="20"/>
              </w:rPr>
              <w:lastRenderedPageBreak/>
              <w:t xml:space="preserve">07. Tăng, giảm tài sản cố định hữu hình </w:t>
            </w:r>
          </w:p>
        </w:tc>
      </w:tr>
      <w:tr w:rsidR="00173C90" w:rsidRPr="00525200" w:rsidTr="00DF5F80">
        <w:trPr>
          <w:trHeight w:val="446"/>
        </w:trPr>
        <w:tc>
          <w:tcPr>
            <w:tcW w:w="3134" w:type="dxa"/>
            <w:gridSpan w:val="2"/>
            <w:tcBorders>
              <w:top w:val="single" w:sz="4" w:space="0" w:color="auto"/>
            </w:tcBorders>
            <w:shd w:val="clear" w:color="auto" w:fill="auto"/>
            <w:vAlign w:val="center"/>
            <w:hideMark/>
          </w:tcPr>
          <w:p w:rsidR="00173C90" w:rsidRPr="00525200" w:rsidRDefault="00173C90" w:rsidP="00173C90">
            <w:pPr>
              <w:spacing w:after="0" w:line="240" w:lineRule="auto"/>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Thiết bị DC cụ quản lý</w:t>
            </w:r>
          </w:p>
        </w:tc>
        <w:tc>
          <w:tcPr>
            <w:tcW w:w="15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Tổng</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r>
      <w:tr w:rsidR="00E41208" w:rsidRPr="00525200" w:rsidTr="00DF5F80">
        <w:trPr>
          <w:trHeight w:val="319"/>
        </w:trPr>
        <w:tc>
          <w:tcPr>
            <w:tcW w:w="3134" w:type="dxa"/>
            <w:gridSpan w:val="2"/>
            <w:shd w:val="clear" w:color="auto" w:fill="auto"/>
            <w:noWrap/>
            <w:vAlign w:val="bottom"/>
            <w:hideMark/>
          </w:tcPr>
          <w:p w:rsidR="00E41208" w:rsidRPr="00525200" w:rsidRDefault="00E41208"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138.204.647.791</w:t>
            </w:r>
          </w:p>
        </w:tc>
        <w:tc>
          <w:tcPr>
            <w:tcW w:w="1366" w:type="dxa"/>
            <w:gridSpan w:val="2"/>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8.401.686.837</w:t>
            </w:r>
          </w:p>
        </w:tc>
        <w:tc>
          <w:tcPr>
            <w:tcW w:w="1272" w:type="dxa"/>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185.848.609</w:t>
            </w:r>
          </w:p>
        </w:tc>
        <w:tc>
          <w:tcPr>
            <w:tcW w:w="1566" w:type="dxa"/>
            <w:gridSpan w:val="2"/>
            <w:shd w:val="clear" w:color="000000" w:fill="CCFFFF"/>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207.155.361.791</w:t>
            </w:r>
          </w:p>
        </w:tc>
      </w:tr>
      <w:tr w:rsidR="00173C90" w:rsidRPr="00525200" w:rsidTr="00DF5F80">
        <w:trPr>
          <w:trHeight w:val="319"/>
        </w:trPr>
        <w:tc>
          <w:tcPr>
            <w:tcW w:w="3134" w:type="dxa"/>
            <w:gridSpan w:val="2"/>
            <w:shd w:val="clear" w:color="000000" w:fill="CCFFFF"/>
            <w:noWrap/>
            <w:vAlign w:val="bottom"/>
            <w:hideMark/>
          </w:tcPr>
          <w:p w:rsidR="00173C90" w:rsidRPr="00525200" w:rsidRDefault="00173C90"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525200" w:rsidRDefault="00173C90" w:rsidP="00E41208">
            <w:pPr>
              <w:spacing w:after="0" w:line="240" w:lineRule="auto"/>
              <w:jc w:val="right"/>
              <w:rPr>
                <w:rFonts w:ascii="Times New Roman" w:eastAsia="Times New Roman" w:hAnsi="Times New Roman" w:cs="Times New Roman"/>
                <w:b/>
                <w:bCs/>
                <w:i/>
                <w:iCs/>
                <w:sz w:val="20"/>
                <w:szCs w:val="20"/>
              </w:rPr>
            </w:pPr>
          </w:p>
        </w:tc>
        <w:tc>
          <w:tcPr>
            <w:tcW w:w="1566" w:type="dxa"/>
            <w:gridSpan w:val="2"/>
            <w:shd w:val="clear" w:color="000000" w:fill="CCFFFF"/>
            <w:noWrap/>
            <w:vAlign w:val="bottom"/>
            <w:hideMark/>
          </w:tcPr>
          <w:p w:rsidR="00173C90" w:rsidRPr="00525200" w:rsidRDefault="00E41208" w:rsidP="005E427C">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1.</w:t>
            </w:r>
            <w:r w:rsidR="005E427C">
              <w:rPr>
                <w:rFonts w:ascii="Times New Roman" w:eastAsia="Times New Roman" w:hAnsi="Times New Roman" w:cs="Times New Roman"/>
                <w:b/>
                <w:bCs/>
                <w:i/>
                <w:iCs/>
                <w:sz w:val="20"/>
                <w:szCs w:val="20"/>
              </w:rPr>
              <w:t>766.636.364</w:t>
            </w:r>
            <w:r w:rsidR="00173C90" w:rsidRPr="0052520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525200" w:rsidRDefault="005E427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r w:rsidR="00173C90" w:rsidRPr="0052520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525200" w:rsidRDefault="005E427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1.796.636.364</w:t>
            </w:r>
            <w:r w:rsidR="00941217" w:rsidRPr="00525200">
              <w:rPr>
                <w:rFonts w:ascii="Times New Roman" w:eastAsia="Times New Roman" w:hAnsi="Times New Roman" w:cs="Times New Roman"/>
                <w:b/>
                <w:bCs/>
                <w:i/>
                <w:iCs/>
                <w:sz w:val="20"/>
                <w:szCs w:val="20"/>
              </w:rPr>
              <w:t> </w:t>
            </w:r>
            <w:r w:rsidR="00173C90" w:rsidRPr="00525200">
              <w:rPr>
                <w:rFonts w:ascii="Times New Roman" w:eastAsia="Times New Roman" w:hAnsi="Times New Roman" w:cs="Times New Roman"/>
                <w:b/>
                <w:bCs/>
                <w:i/>
                <w:iCs/>
                <w:sz w:val="20"/>
                <w:szCs w:val="20"/>
              </w:rPr>
              <w:t> </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173C90" w:rsidRPr="00525200" w:rsidRDefault="001064A6"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(5.016.181.882)</w:t>
            </w:r>
          </w:p>
        </w:tc>
        <w:tc>
          <w:tcPr>
            <w:tcW w:w="1566" w:type="dxa"/>
            <w:gridSpan w:val="2"/>
            <w:shd w:val="clear" w:color="auto" w:fill="auto"/>
            <w:noWrap/>
            <w:vAlign w:val="bottom"/>
            <w:hideMark/>
          </w:tcPr>
          <w:p w:rsidR="00173C90" w:rsidRPr="00525200" w:rsidRDefault="00E5531A" w:rsidP="001064A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064A6">
              <w:rPr>
                <w:rFonts w:ascii="Times New Roman" w:eastAsia="Times New Roman" w:hAnsi="Times New Roman" w:cs="Times New Roman"/>
                <w:color w:val="000000"/>
                <w:sz w:val="20"/>
                <w:szCs w:val="20"/>
              </w:rPr>
              <w:t>7.718.698.308</w:t>
            </w:r>
            <w:r>
              <w:rPr>
                <w:rFonts w:ascii="Times New Roman" w:eastAsia="Times New Roman" w:hAnsi="Times New Roman" w:cs="Times New Roman"/>
                <w:color w:val="000000"/>
                <w:sz w:val="20"/>
                <w:szCs w:val="20"/>
              </w:rPr>
              <w:t>)</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E5531A" w:rsidP="00D571A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571AC">
              <w:rPr>
                <w:rFonts w:ascii="Times New Roman" w:eastAsia="Times New Roman" w:hAnsi="Times New Roman" w:cs="Times New Roman"/>
                <w:color w:val="000000"/>
                <w:sz w:val="20"/>
                <w:szCs w:val="20"/>
              </w:rPr>
              <w:t>12.734.880.190</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xml:space="preserve"> </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427C">
              <w:rPr>
                <w:rFonts w:ascii="Times New Roman" w:eastAsia="Times New Roman" w:hAnsi="Times New Roman" w:cs="Times New Roman"/>
                <w:sz w:val="20"/>
                <w:szCs w:val="20"/>
              </w:rPr>
              <w:t>55.181.818</w:t>
            </w:r>
            <w:r>
              <w:rPr>
                <w:rFonts w:ascii="Times New Roman" w:eastAsia="Times New Roman" w:hAnsi="Times New Roman" w:cs="Times New Roman"/>
                <w:sz w:val="20"/>
                <w:szCs w:val="20"/>
              </w:rPr>
              <w:t>)</w:t>
            </w:r>
            <w:r w:rsidR="009E7F42" w:rsidRPr="0052520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E7F42" w:rsidRPr="00525200">
              <w:rPr>
                <w:rFonts w:ascii="Times New Roman" w:eastAsia="Times New Roman" w:hAnsi="Times New Roman" w:cs="Times New Roman"/>
                <w:sz w:val="20"/>
                <w:szCs w:val="20"/>
              </w:rPr>
              <w:t>26.908.636</w:t>
            </w:r>
            <w:r>
              <w:rPr>
                <w:rFonts w:ascii="Times New Roman" w:eastAsia="Times New Roman" w:hAnsi="Times New Roman" w:cs="Times New Roman"/>
                <w:sz w:val="20"/>
                <w:szCs w:val="20"/>
              </w:rPr>
              <w:t>)</w:t>
            </w:r>
          </w:p>
        </w:tc>
        <w:tc>
          <w:tcPr>
            <w:tcW w:w="1272" w:type="dxa"/>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427C">
              <w:rPr>
                <w:rFonts w:ascii="Times New Roman" w:eastAsia="Times New Roman" w:hAnsi="Times New Roman" w:cs="Times New Roman"/>
                <w:sz w:val="20"/>
                <w:szCs w:val="20"/>
              </w:rPr>
              <w:t>185.848.609</w:t>
            </w:r>
            <w:r>
              <w:rPr>
                <w:rFonts w:ascii="Times New Roman" w:eastAsia="Times New Roman" w:hAnsi="Times New Roman" w:cs="Times New Roman"/>
                <w:sz w:val="20"/>
                <w:szCs w:val="20"/>
              </w:rPr>
              <w:t>)</w:t>
            </w: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(267.939.063)</w:t>
            </w:r>
            <w:r w:rsidR="00173C90" w:rsidRPr="00525200">
              <w:rPr>
                <w:rFonts w:ascii="Times New Roman" w:eastAsia="Times New Roman" w:hAnsi="Times New Roman" w:cs="Times New Roman"/>
                <w:color w:val="000000"/>
                <w:sz w:val="20"/>
                <w:szCs w:val="20"/>
              </w:rPr>
              <w:t xml:space="preserve"> </w:t>
            </w:r>
          </w:p>
        </w:tc>
      </w:tr>
      <w:tr w:rsidR="00173C90" w:rsidRPr="00525200" w:rsidTr="00DF5F80">
        <w:trPr>
          <w:trHeight w:val="319"/>
        </w:trPr>
        <w:tc>
          <w:tcPr>
            <w:tcW w:w="3134" w:type="dxa"/>
            <w:gridSpan w:val="2"/>
            <w:shd w:val="clear" w:color="000000" w:fill="CCFFFF"/>
            <w:noWrap/>
            <w:vAlign w:val="bottom"/>
            <w:hideMark/>
          </w:tcPr>
          <w:p w:rsidR="00173C90" w:rsidRPr="00E5531A" w:rsidRDefault="00173C90" w:rsidP="00173C90">
            <w:pPr>
              <w:spacing w:after="0" w:line="240" w:lineRule="auto"/>
              <w:rPr>
                <w:rFonts w:ascii="Times New Roman" w:eastAsia="Times New Roman" w:hAnsi="Times New Roman" w:cs="Times New Roman"/>
                <w:b/>
                <w:bCs/>
                <w:i/>
                <w:iCs/>
                <w:sz w:val="20"/>
                <w:szCs w:val="20"/>
              </w:rPr>
            </w:pPr>
            <w:r w:rsidRPr="00E5531A">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E5531A" w:rsidRDefault="001064A6"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55.346.996.672</w:t>
            </w:r>
          </w:p>
        </w:tc>
        <w:tc>
          <w:tcPr>
            <w:tcW w:w="1566" w:type="dxa"/>
            <w:gridSpan w:val="2"/>
            <w:shd w:val="clear" w:color="auto" w:fill="auto"/>
            <w:noWrap/>
            <w:vAlign w:val="bottom"/>
            <w:hideMark/>
          </w:tcPr>
          <w:p w:rsidR="00173C90" w:rsidRPr="00E5531A" w:rsidRDefault="001064A6"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131.441.244.775</w:t>
            </w:r>
          </w:p>
        </w:tc>
        <w:tc>
          <w:tcPr>
            <w:tcW w:w="1366" w:type="dxa"/>
            <w:gridSpan w:val="2"/>
            <w:shd w:val="clear" w:color="000000" w:fill="CCFFFF"/>
            <w:noWrap/>
            <w:vAlign w:val="bottom"/>
            <w:hideMark/>
          </w:tcPr>
          <w:p w:rsidR="00173C90" w:rsidRPr="00E5531A" w:rsidRDefault="009E7F42" w:rsidP="00173C90">
            <w:pPr>
              <w:spacing w:after="0" w:line="240" w:lineRule="auto"/>
              <w:jc w:val="right"/>
              <w:rPr>
                <w:rFonts w:ascii="Times New Roman" w:eastAsia="Times New Roman" w:hAnsi="Times New Roman" w:cs="Times New Roman"/>
                <w:b/>
                <w:bCs/>
                <w:i/>
                <w:iCs/>
                <w:sz w:val="20"/>
                <w:szCs w:val="20"/>
              </w:rPr>
            </w:pPr>
            <w:r w:rsidRPr="00E5531A">
              <w:rPr>
                <w:rFonts w:ascii="Times New Roman" w:eastAsia="Times New Roman" w:hAnsi="Times New Roman" w:cs="Times New Roman"/>
                <w:b/>
                <w:bCs/>
                <w:i/>
                <w:iCs/>
                <w:sz w:val="20"/>
                <w:szCs w:val="20"/>
              </w:rPr>
              <w:t>8.374.778.201</w:t>
            </w:r>
          </w:p>
        </w:tc>
        <w:tc>
          <w:tcPr>
            <w:tcW w:w="1272" w:type="dxa"/>
            <w:shd w:val="clear" w:color="000000" w:fill="CCFFFF"/>
            <w:noWrap/>
            <w:vAlign w:val="bottom"/>
            <w:hideMark/>
          </w:tcPr>
          <w:p w:rsidR="00173C90" w:rsidRPr="00E5531A" w:rsidRDefault="00E5531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p>
        </w:tc>
        <w:tc>
          <w:tcPr>
            <w:tcW w:w="1566" w:type="dxa"/>
            <w:gridSpan w:val="2"/>
            <w:shd w:val="clear" w:color="000000" w:fill="CCFFFF"/>
            <w:noWrap/>
            <w:vAlign w:val="bottom"/>
            <w:hideMark/>
          </w:tcPr>
          <w:p w:rsidR="00173C90" w:rsidRPr="00525200" w:rsidRDefault="00D571A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195.949.178.902</w:t>
            </w:r>
          </w:p>
        </w:tc>
      </w:tr>
      <w:tr w:rsidR="00173C90" w:rsidRPr="00525200" w:rsidTr="00DF5F80">
        <w:trPr>
          <w:trHeight w:val="319"/>
        </w:trPr>
        <w:tc>
          <w:tcPr>
            <w:tcW w:w="3134" w:type="dxa"/>
            <w:gridSpan w:val="2"/>
            <w:shd w:val="clear" w:color="auto" w:fill="auto"/>
            <w:noWrap/>
            <w:vAlign w:val="bottom"/>
            <w:hideMark/>
          </w:tcPr>
          <w:p w:rsidR="00173C90" w:rsidRPr="00E5531A" w:rsidRDefault="00173C90" w:rsidP="00173C90">
            <w:pPr>
              <w:spacing w:after="0" w:line="240" w:lineRule="auto"/>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r>
      <w:tr w:rsidR="009E7F42" w:rsidRPr="00525200" w:rsidTr="00DF5F80">
        <w:trPr>
          <w:trHeight w:val="319"/>
        </w:trPr>
        <w:tc>
          <w:tcPr>
            <w:tcW w:w="3134" w:type="dxa"/>
            <w:gridSpan w:val="2"/>
            <w:shd w:val="clear" w:color="auto" w:fill="auto"/>
            <w:noWrap/>
            <w:vAlign w:val="bottom"/>
            <w:hideMark/>
          </w:tcPr>
          <w:p w:rsidR="009E7F42" w:rsidRPr="00525200" w:rsidRDefault="009E7F42"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9E7F42" w:rsidRPr="00525200" w:rsidRDefault="00E5531A"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8.418.069.648</w:t>
            </w:r>
          </w:p>
        </w:tc>
        <w:tc>
          <w:tcPr>
            <w:tcW w:w="1566" w:type="dxa"/>
            <w:gridSpan w:val="2"/>
            <w:shd w:val="clear" w:color="auto" w:fill="auto"/>
            <w:noWrap/>
            <w:vAlign w:val="bottom"/>
            <w:hideMark/>
          </w:tcPr>
          <w:p w:rsidR="009E7F42" w:rsidRPr="00525200" w:rsidRDefault="00E5531A"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27.407.385.725</w:t>
            </w:r>
          </w:p>
        </w:tc>
        <w:tc>
          <w:tcPr>
            <w:tcW w:w="1366" w:type="dxa"/>
            <w:gridSpan w:val="2"/>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3.497.767.376</w:t>
            </w:r>
          </w:p>
        </w:tc>
        <w:tc>
          <w:tcPr>
            <w:tcW w:w="1272" w:type="dxa"/>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172.045.745</w:t>
            </w:r>
          </w:p>
        </w:tc>
        <w:tc>
          <w:tcPr>
            <w:tcW w:w="1566" w:type="dxa"/>
            <w:gridSpan w:val="2"/>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39.495.268.494</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525200" w:rsidRDefault="00D571AC"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3.288.962.052</w:t>
            </w:r>
          </w:p>
        </w:tc>
        <w:tc>
          <w:tcPr>
            <w:tcW w:w="1566" w:type="dxa"/>
            <w:gridSpan w:val="2"/>
            <w:shd w:val="clear" w:color="auto" w:fill="auto"/>
            <w:noWrap/>
            <w:vAlign w:val="bottom"/>
            <w:hideMark/>
          </w:tcPr>
          <w:p w:rsidR="00173C90" w:rsidRPr="00525200" w:rsidRDefault="008B5C33"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10.161.550.536</w:t>
            </w:r>
          </w:p>
        </w:tc>
        <w:tc>
          <w:tcPr>
            <w:tcW w:w="1366" w:type="dxa"/>
            <w:gridSpan w:val="2"/>
            <w:shd w:val="clear" w:color="auto" w:fill="auto"/>
            <w:noWrap/>
            <w:vAlign w:val="bottom"/>
            <w:hideMark/>
          </w:tcPr>
          <w:p w:rsidR="00173C90" w:rsidRPr="00525200" w:rsidRDefault="008B5C33"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1.069.469.143</w:t>
            </w:r>
          </w:p>
        </w:tc>
        <w:tc>
          <w:tcPr>
            <w:tcW w:w="1272" w:type="dxa"/>
            <w:shd w:val="clear" w:color="auto" w:fill="auto"/>
            <w:noWrap/>
            <w:vAlign w:val="bottom"/>
            <w:hideMark/>
          </w:tcPr>
          <w:p w:rsidR="00173C90" w:rsidRPr="00525200" w:rsidRDefault="008B5C33"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12.680.387</w:t>
            </w:r>
          </w:p>
        </w:tc>
        <w:tc>
          <w:tcPr>
            <w:tcW w:w="1566" w:type="dxa"/>
            <w:gridSpan w:val="2"/>
            <w:shd w:val="clear" w:color="auto" w:fill="auto"/>
            <w:noWrap/>
            <w:vAlign w:val="bottom"/>
            <w:hideMark/>
          </w:tcPr>
          <w:p w:rsidR="00173C90" w:rsidRPr="00525200" w:rsidRDefault="008E30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14.532.662.118</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r w:rsidR="00D571AC">
              <w:rPr>
                <w:rFonts w:ascii="Times New Roman" w:eastAsia="Times New Roman" w:hAnsi="Times New Roman" w:cs="Times New Roman"/>
                <w:sz w:val="20"/>
                <w:szCs w:val="20"/>
              </w:rPr>
              <w:t>(2.591.693.992)</w:t>
            </w:r>
          </w:p>
        </w:tc>
        <w:tc>
          <w:tcPr>
            <w:tcW w:w="1566" w:type="dxa"/>
            <w:gridSpan w:val="2"/>
            <w:shd w:val="clear" w:color="auto" w:fill="auto"/>
            <w:noWrap/>
            <w:vAlign w:val="bottom"/>
            <w:hideMark/>
          </w:tcPr>
          <w:p w:rsidR="00173C90" w:rsidRPr="00525200" w:rsidRDefault="00782338" w:rsidP="008B5C3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B5C33">
              <w:rPr>
                <w:rFonts w:ascii="Times New Roman" w:eastAsia="Times New Roman" w:hAnsi="Times New Roman" w:cs="Times New Roman"/>
                <w:color w:val="000000"/>
                <w:sz w:val="20"/>
                <w:szCs w:val="20"/>
              </w:rPr>
              <w:t>6.527.247.215</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41217" w:rsidRPr="00525200">
              <w:rPr>
                <w:rFonts w:ascii="Times New Roman" w:eastAsia="Times New Roman" w:hAnsi="Times New Roman" w:cs="Times New Roman"/>
                <w:color w:val="000000"/>
                <w:sz w:val="20"/>
                <w:szCs w:val="20"/>
              </w:rPr>
              <w:t>24.666.246</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xml:space="preserve"> </w:t>
            </w:r>
          </w:p>
        </w:tc>
        <w:tc>
          <w:tcPr>
            <w:tcW w:w="1272" w:type="dxa"/>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(182.663.919)</w:t>
            </w:r>
            <w:r w:rsidR="00173C90" w:rsidRPr="00525200">
              <w:rPr>
                <w:rFonts w:ascii="Times New Roman" w:eastAsia="Times New Roman" w:hAnsi="Times New Roman" w:cs="Times New Roman"/>
                <w:color w:val="000000"/>
                <w:sz w:val="20"/>
                <w:szCs w:val="20"/>
              </w:rPr>
              <w:t xml:space="preserve"> </w:t>
            </w:r>
          </w:p>
        </w:tc>
        <w:tc>
          <w:tcPr>
            <w:tcW w:w="1566" w:type="dxa"/>
            <w:gridSpan w:val="2"/>
            <w:shd w:val="clear" w:color="auto" w:fill="auto"/>
            <w:noWrap/>
            <w:vAlign w:val="bottom"/>
            <w:hideMark/>
          </w:tcPr>
          <w:p w:rsidR="00173C90" w:rsidRPr="00525200" w:rsidRDefault="00782338" w:rsidP="008E301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8E301A">
              <w:rPr>
                <w:rFonts w:ascii="Times New Roman" w:eastAsia="Times New Roman" w:hAnsi="Times New Roman" w:cs="Times New Roman"/>
                <w:color w:val="000000"/>
                <w:sz w:val="20"/>
                <w:szCs w:val="20"/>
              </w:rPr>
              <w:t>9.326.271.372</w:t>
            </w:r>
            <w:r>
              <w:rPr>
                <w:rFonts w:ascii="Times New Roman" w:eastAsia="Times New Roman" w:hAnsi="Times New Roman" w:cs="Times New Roman"/>
                <w:color w:val="000000"/>
                <w:sz w:val="20"/>
                <w:szCs w:val="20"/>
              </w:rPr>
              <w:t>)</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trHeight w:val="319"/>
        </w:trPr>
        <w:tc>
          <w:tcPr>
            <w:tcW w:w="3134" w:type="dxa"/>
            <w:gridSpan w:val="2"/>
            <w:shd w:val="clear" w:color="000000" w:fill="CCFFFF"/>
            <w:noWrap/>
            <w:vAlign w:val="bottom"/>
            <w:hideMark/>
          </w:tcPr>
          <w:p w:rsidR="00173C90" w:rsidRPr="00525200" w:rsidRDefault="00173C90"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525200" w:rsidRDefault="00D571A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9.115.337.708</w:t>
            </w:r>
          </w:p>
        </w:tc>
        <w:tc>
          <w:tcPr>
            <w:tcW w:w="1566" w:type="dxa"/>
            <w:gridSpan w:val="2"/>
            <w:shd w:val="clear" w:color="000000" w:fill="CCFFFF"/>
            <w:noWrap/>
            <w:vAlign w:val="bottom"/>
            <w:hideMark/>
          </w:tcPr>
          <w:p w:rsidR="00173C90" w:rsidRPr="00525200" w:rsidRDefault="008B5C33"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31.041.689.046</w:t>
            </w:r>
          </w:p>
        </w:tc>
        <w:tc>
          <w:tcPr>
            <w:tcW w:w="1366" w:type="dxa"/>
            <w:gridSpan w:val="2"/>
            <w:shd w:val="clear" w:color="000000" w:fill="CCFFFF"/>
            <w:noWrap/>
            <w:vAlign w:val="bottom"/>
            <w:hideMark/>
          </w:tcPr>
          <w:p w:rsidR="00173C90" w:rsidRPr="00525200" w:rsidRDefault="008B5C33"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4.542.570.273</w:t>
            </w:r>
          </w:p>
        </w:tc>
        <w:tc>
          <w:tcPr>
            <w:tcW w:w="1272" w:type="dxa"/>
            <w:shd w:val="clear" w:color="000000" w:fill="CCFFFF"/>
            <w:noWrap/>
            <w:vAlign w:val="bottom"/>
            <w:hideMark/>
          </w:tcPr>
          <w:p w:rsidR="00173C90" w:rsidRPr="00525200" w:rsidRDefault="008B5C33"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2.062.213</w:t>
            </w:r>
          </w:p>
        </w:tc>
        <w:tc>
          <w:tcPr>
            <w:tcW w:w="1566" w:type="dxa"/>
            <w:gridSpan w:val="2"/>
            <w:shd w:val="clear" w:color="000000" w:fill="CCFFFF"/>
            <w:noWrap/>
            <w:vAlign w:val="bottom"/>
            <w:hideMark/>
          </w:tcPr>
          <w:p w:rsidR="00173C90" w:rsidRPr="00525200" w:rsidRDefault="008B5C33" w:rsidP="008B5C33">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44.701.659.240</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p>
        </w:tc>
      </w:tr>
      <w:tr w:rsidR="00A51311" w:rsidRPr="00525200" w:rsidTr="00DF5F80">
        <w:trPr>
          <w:trHeight w:val="319"/>
        </w:trPr>
        <w:tc>
          <w:tcPr>
            <w:tcW w:w="3134" w:type="dxa"/>
            <w:gridSpan w:val="2"/>
            <w:shd w:val="clear" w:color="auto" w:fill="auto"/>
            <w:noWrap/>
            <w:vAlign w:val="bottom"/>
            <w:hideMark/>
          </w:tcPr>
          <w:p w:rsidR="00A51311" w:rsidRPr="00525200" w:rsidRDefault="00A51311"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A51311" w:rsidRPr="00525200" w:rsidRDefault="00A51311"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51.091.517.256</w:t>
            </w:r>
          </w:p>
        </w:tc>
        <w:tc>
          <w:tcPr>
            <w:tcW w:w="15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110.797.262.066</w:t>
            </w:r>
          </w:p>
        </w:tc>
        <w:tc>
          <w:tcPr>
            <w:tcW w:w="13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4.903.919.461</w:t>
            </w:r>
          </w:p>
        </w:tc>
        <w:tc>
          <w:tcPr>
            <w:tcW w:w="1272" w:type="dxa"/>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13.802.864</w:t>
            </w:r>
          </w:p>
        </w:tc>
        <w:tc>
          <w:tcPr>
            <w:tcW w:w="15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167.660.093.297</w:t>
            </w:r>
          </w:p>
        </w:tc>
      </w:tr>
      <w:tr w:rsidR="00173C90" w:rsidRPr="00525200" w:rsidTr="00DF5F80">
        <w:trPr>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525200" w:rsidRDefault="008E30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46.231.658.964</w:t>
            </w:r>
          </w:p>
        </w:tc>
        <w:tc>
          <w:tcPr>
            <w:tcW w:w="1566" w:type="dxa"/>
            <w:gridSpan w:val="2"/>
            <w:shd w:val="clear" w:color="auto" w:fill="auto"/>
            <w:noWrap/>
            <w:vAlign w:val="bottom"/>
            <w:hideMark/>
          </w:tcPr>
          <w:p w:rsidR="00173C90" w:rsidRPr="00525200" w:rsidRDefault="008E30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101.155.714.983</w:t>
            </w:r>
          </w:p>
        </w:tc>
        <w:tc>
          <w:tcPr>
            <w:tcW w:w="1366" w:type="dxa"/>
            <w:gridSpan w:val="2"/>
            <w:shd w:val="clear" w:color="auto" w:fill="auto"/>
            <w:noWrap/>
            <w:vAlign w:val="bottom"/>
            <w:hideMark/>
          </w:tcPr>
          <w:p w:rsidR="00173C90" w:rsidRPr="00525200" w:rsidRDefault="008E30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3.832.207.928</w:t>
            </w:r>
          </w:p>
        </w:tc>
        <w:tc>
          <w:tcPr>
            <w:tcW w:w="1272" w:type="dxa"/>
            <w:shd w:val="clear" w:color="auto" w:fill="auto"/>
            <w:noWrap/>
            <w:vAlign w:val="bottom"/>
            <w:hideMark/>
          </w:tcPr>
          <w:p w:rsidR="00173C90" w:rsidRPr="00525200" w:rsidRDefault="008E30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27.937.787</w:t>
            </w:r>
          </w:p>
        </w:tc>
        <w:tc>
          <w:tcPr>
            <w:tcW w:w="1566" w:type="dxa"/>
            <w:gridSpan w:val="2"/>
            <w:shd w:val="clear" w:color="auto" w:fill="auto"/>
            <w:noWrap/>
            <w:vAlign w:val="bottom"/>
            <w:hideMark/>
          </w:tcPr>
          <w:p w:rsidR="00173C90" w:rsidRPr="00525200" w:rsidRDefault="009B1575"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151.247.519.662</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0"/>
            <w:tcBorders>
              <w:top w:val="nil"/>
              <w:left w:val="nil"/>
              <w:bottom w:val="nil"/>
              <w:right w:val="nil"/>
            </w:tcBorders>
            <w:shd w:val="clear" w:color="auto" w:fill="auto"/>
            <w:noWrap/>
            <w:vAlign w:val="bottom"/>
            <w:hideMark/>
          </w:tcPr>
          <w:p w:rsidR="0086501B" w:rsidRPr="00525200" w:rsidRDefault="0086501B" w:rsidP="00173C90">
            <w:pPr>
              <w:spacing w:after="0" w:line="240" w:lineRule="auto"/>
              <w:rPr>
                <w:rFonts w:ascii="Times New Roman" w:eastAsia="Times New Roman" w:hAnsi="Times New Roman" w:cs="Times New Roman"/>
                <w:b/>
                <w:bCs/>
                <w:color w:val="000000"/>
              </w:rPr>
            </w:pPr>
          </w:p>
          <w:p w:rsidR="0086501B" w:rsidRPr="00525200" w:rsidRDefault="0086501B" w:rsidP="00173C90">
            <w:pPr>
              <w:spacing w:after="0" w:line="240" w:lineRule="auto"/>
              <w:rPr>
                <w:rFonts w:ascii="Times New Roman" w:eastAsia="Times New Roman" w:hAnsi="Times New Roman" w:cs="Times New Roman"/>
                <w:b/>
                <w:bCs/>
                <w:color w:val="000000"/>
              </w:rPr>
            </w:pPr>
          </w:p>
          <w:p w:rsidR="00173C90" w:rsidRPr="00525200" w:rsidRDefault="00173C90" w:rsidP="00173C9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color w:val="000000"/>
              </w:rPr>
              <w:t>08. Tăng, giảm tài sản cố định vô hình:</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525200" w:rsidRDefault="00173C90" w:rsidP="00173C90">
            <w:pPr>
              <w:spacing w:after="0" w:line="240" w:lineRule="auto"/>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TSCĐ vô hình khác</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rPr>
            </w:pPr>
            <w:r w:rsidRPr="00525200">
              <w:rPr>
                <w:rFonts w:ascii="Times New Roman" w:eastAsia="Times New Roman" w:hAnsi="Times New Roman" w:cs="Times New Roman"/>
                <w:b/>
                <w:bCs/>
                <w:color w:val="000000"/>
              </w:rPr>
              <w:t>Tổng</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8.916.018.547</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8.916.018.547</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530A0B"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525200" w:rsidRDefault="00530A0B"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525200" w:rsidRDefault="00E9659B" w:rsidP="003E75B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334.713.914</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1.202.957.077</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4537F1" w:rsidP="003E75B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1.537.670.991</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164.680.632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342.253.704</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506.934.336</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499.394.546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1.545.210.781</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2.044.605.327</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530A0B"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525200" w:rsidRDefault="00530A0B"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525200" w:rsidRDefault="00E9659B"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8.916.018.547</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6.234.637.306</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7.370.807.766</w:t>
            </w:r>
          </w:p>
        </w:tc>
        <w:tc>
          <w:tcPr>
            <w:tcW w:w="1591"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4537F1"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13.605.445.072</w:t>
            </w:r>
          </w:p>
        </w:tc>
      </w:tr>
    </w:tbl>
    <w:p w:rsidR="00173C90" w:rsidRPr="00525200" w:rsidRDefault="00173C90">
      <w:pPr>
        <w:rPr>
          <w:rFonts w:ascii="Times New Roman" w:hAnsi="Times New Roman" w:cs="Times New Roman"/>
        </w:rPr>
      </w:pPr>
    </w:p>
    <w:tbl>
      <w:tblPr>
        <w:tblW w:w="9612" w:type="dxa"/>
        <w:tblInd w:w="93" w:type="dxa"/>
        <w:tblLook w:val="04A0" w:firstRow="1" w:lastRow="0" w:firstColumn="1" w:lastColumn="0" w:noHBand="0" w:noVBand="1"/>
      </w:tblPr>
      <w:tblGrid>
        <w:gridCol w:w="4965"/>
        <w:gridCol w:w="1713"/>
        <w:gridCol w:w="1179"/>
        <w:gridCol w:w="1755"/>
      </w:tblGrid>
      <w:tr w:rsidR="00DF5F80" w:rsidRPr="00525200" w:rsidTr="00D14346">
        <w:trPr>
          <w:trHeight w:val="300"/>
        </w:trPr>
        <w:tc>
          <w:tcPr>
            <w:tcW w:w="4965"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09. Chi phí xây dựng cơ bản dở dang</w:t>
            </w:r>
          </w:p>
        </w:tc>
        <w:tc>
          <w:tcPr>
            <w:tcW w:w="1713"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17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55"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E41208" w:rsidRPr="00525200" w:rsidTr="00D14346">
        <w:trPr>
          <w:trHeight w:val="300"/>
        </w:trPr>
        <w:tc>
          <w:tcPr>
            <w:tcW w:w="4965"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Tổng số chi phí XDCB dở dang</w:t>
            </w:r>
          </w:p>
        </w:tc>
        <w:tc>
          <w:tcPr>
            <w:tcW w:w="1713" w:type="dxa"/>
            <w:tcBorders>
              <w:top w:val="nil"/>
              <w:left w:val="nil"/>
              <w:bottom w:val="nil"/>
              <w:right w:val="nil"/>
            </w:tcBorders>
            <w:shd w:val="clear" w:color="auto" w:fill="auto"/>
            <w:noWrap/>
            <w:vAlign w:val="bottom"/>
            <w:hideMark/>
          </w:tcPr>
          <w:p w:rsidR="00E41208" w:rsidRPr="00525200" w:rsidRDefault="00D14346" w:rsidP="00DD3D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21.045.088.858</w:t>
            </w:r>
          </w:p>
        </w:tc>
        <w:tc>
          <w:tcPr>
            <w:tcW w:w="1179"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rPr>
                <w:rFonts w:ascii="Times New Roman" w:eastAsia="Times New Roman" w:hAnsi="Times New Roman" w:cs="Times New Roman"/>
                <w:b/>
                <w:bCs/>
              </w:rPr>
            </w:pPr>
          </w:p>
        </w:tc>
        <w:tc>
          <w:tcPr>
            <w:tcW w:w="1755"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DF5F80" w:rsidRPr="00525200" w:rsidTr="00D14346">
        <w:trPr>
          <w:trHeight w:val="300"/>
        </w:trPr>
        <w:tc>
          <w:tcPr>
            <w:tcW w:w="4965" w:type="dxa"/>
            <w:tcBorders>
              <w:top w:val="nil"/>
              <w:left w:val="nil"/>
              <w:bottom w:val="nil"/>
              <w:right w:val="nil"/>
            </w:tcBorders>
            <w:shd w:val="clear" w:color="auto" w:fill="auto"/>
            <w:noWrap/>
            <w:vAlign w:val="bottom"/>
            <w:hideMark/>
          </w:tcPr>
          <w:p w:rsidR="00DF5F80" w:rsidRPr="00D14346" w:rsidRDefault="00DF5F80" w:rsidP="00DF5F80">
            <w:pPr>
              <w:spacing w:after="0" w:line="240" w:lineRule="auto"/>
              <w:rPr>
                <w:rFonts w:ascii="Times New Roman" w:eastAsia="Times New Roman" w:hAnsi="Times New Roman" w:cs="Times New Roman"/>
              </w:rPr>
            </w:pPr>
            <w:r w:rsidRPr="00D14346">
              <w:rPr>
                <w:rFonts w:ascii="Times New Roman" w:eastAsia="Times New Roman" w:hAnsi="Times New Roman" w:cs="Times New Roman"/>
              </w:rPr>
              <w:t>Sửa chữa NM tro bay</w:t>
            </w:r>
          </w:p>
        </w:tc>
        <w:tc>
          <w:tcPr>
            <w:tcW w:w="1713"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17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55"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14346">
        <w:trPr>
          <w:trHeight w:val="300"/>
        </w:trPr>
        <w:tc>
          <w:tcPr>
            <w:tcW w:w="4965" w:type="dxa"/>
            <w:tcBorders>
              <w:top w:val="nil"/>
              <w:left w:val="nil"/>
              <w:bottom w:val="nil"/>
              <w:right w:val="nil"/>
            </w:tcBorders>
            <w:shd w:val="clear" w:color="auto" w:fill="auto"/>
            <w:noWrap/>
            <w:vAlign w:val="bottom"/>
            <w:hideMark/>
          </w:tcPr>
          <w:p w:rsidR="00DF5F80" w:rsidRPr="00525200" w:rsidRDefault="00E4120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XD xưởng SX tro bay tại NM gạch:</w:t>
            </w:r>
          </w:p>
        </w:tc>
        <w:tc>
          <w:tcPr>
            <w:tcW w:w="1713" w:type="dxa"/>
            <w:tcBorders>
              <w:top w:val="nil"/>
              <w:left w:val="nil"/>
              <w:bottom w:val="nil"/>
              <w:right w:val="nil"/>
            </w:tcBorders>
            <w:shd w:val="clear" w:color="auto" w:fill="auto"/>
            <w:noWrap/>
            <w:vAlign w:val="bottom"/>
            <w:hideMark/>
          </w:tcPr>
          <w:p w:rsidR="00DF5F80" w:rsidRPr="00525200" w:rsidRDefault="00D14346" w:rsidP="00DD3D4E">
            <w:pPr>
              <w:spacing w:after="0" w:line="240" w:lineRule="auto"/>
              <w:rPr>
                <w:rFonts w:ascii="Times New Roman" w:eastAsia="Times New Roman" w:hAnsi="Times New Roman" w:cs="Times New Roman"/>
                <w:bCs/>
              </w:rPr>
            </w:pPr>
            <w:r>
              <w:rPr>
                <w:rFonts w:ascii="Times New Roman" w:eastAsia="Times New Roman" w:hAnsi="Times New Roman" w:cs="Times New Roman"/>
                <w:bCs/>
              </w:rPr>
              <w:t>21.045.088.858</w:t>
            </w:r>
          </w:p>
        </w:tc>
        <w:tc>
          <w:tcPr>
            <w:tcW w:w="117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55"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bl>
    <w:p w:rsidR="00DF5F80" w:rsidRPr="00525200" w:rsidRDefault="00DF5F80">
      <w:pPr>
        <w:rPr>
          <w:rFonts w:ascii="Times New Roman" w:hAnsi="Times New Roman" w:cs="Times New Roman"/>
        </w:rPr>
      </w:pPr>
    </w:p>
    <w:tbl>
      <w:tblPr>
        <w:tblW w:w="9938" w:type="dxa"/>
        <w:tblInd w:w="93" w:type="dxa"/>
        <w:tblLook w:val="04A0" w:firstRow="1" w:lastRow="0" w:firstColumn="1" w:lastColumn="0" w:noHBand="0" w:noVBand="1"/>
      </w:tblPr>
      <w:tblGrid>
        <w:gridCol w:w="3984"/>
        <w:gridCol w:w="1276"/>
        <w:gridCol w:w="1872"/>
        <w:gridCol w:w="1247"/>
        <w:gridCol w:w="1559"/>
      </w:tblGrid>
      <w:tr w:rsidR="00DF5F80" w:rsidRPr="00525200" w:rsidTr="00DF5F80">
        <w:trPr>
          <w:trHeight w:val="300"/>
        </w:trPr>
        <w:tc>
          <w:tcPr>
            <w:tcW w:w="39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Giá trị</w:t>
            </w: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2.530.000.000 </w:t>
            </w:r>
          </w:p>
        </w:tc>
      </w:tr>
      <w:tr w:rsidR="00DF5F80" w:rsidRPr="00525200" w:rsidTr="00DF5F80">
        <w:trPr>
          <w:trHeight w:val="300"/>
        </w:trPr>
        <w:tc>
          <w:tcPr>
            <w:tcW w:w="39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2.530.000.000 </w:t>
            </w:r>
          </w:p>
        </w:tc>
      </w:tr>
    </w:tbl>
    <w:p w:rsidR="00DF5F80" w:rsidRPr="00525200" w:rsidRDefault="00DF5F80">
      <w:pPr>
        <w:rPr>
          <w:rFonts w:ascii="Times New Roman" w:hAnsi="Times New Roman" w:cs="Times New Roman"/>
        </w:rPr>
      </w:pPr>
    </w:p>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Khoản đầu tư vào công ty Cổ phần thạch cao Đình Vũ </w:t>
      </w:r>
      <w:proofErr w:type="gramStart"/>
      <w:r w:rsidRPr="00525200">
        <w:rPr>
          <w:rFonts w:ascii="Times New Roman" w:eastAsia="Times New Roman" w:hAnsi="Times New Roman" w:cs="Times New Roman"/>
        </w:rPr>
        <w:t>theo</w:t>
      </w:r>
      <w:proofErr w:type="gramEnd"/>
      <w:r w:rsidRPr="0052520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Pr="00525200" w:rsidRDefault="00DF5F80">
      <w:pPr>
        <w:rPr>
          <w:rFonts w:ascii="Times New Roman" w:hAnsi="Times New Roman" w:cs="Times New Roman"/>
        </w:rPr>
      </w:pPr>
    </w:p>
    <w:tbl>
      <w:tblPr>
        <w:tblW w:w="9450" w:type="dxa"/>
        <w:tblInd w:w="93" w:type="dxa"/>
        <w:tblLook w:val="04A0" w:firstRow="1" w:lastRow="0" w:firstColumn="1" w:lastColumn="0" w:noHBand="0" w:noVBand="1"/>
      </w:tblPr>
      <w:tblGrid>
        <w:gridCol w:w="4551"/>
        <w:gridCol w:w="1660"/>
        <w:gridCol w:w="1459"/>
        <w:gridCol w:w="1780"/>
      </w:tblGrid>
      <w:tr w:rsidR="00DF5F80" w:rsidRPr="00525200" w:rsidTr="00395352">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395352">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525200" w:rsidRDefault="00395352" w:rsidP="0039535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524.637.152</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200.034.333</w:t>
            </w:r>
          </w:p>
        </w:tc>
      </w:tr>
      <w:tr w:rsidR="00DF5F80" w:rsidRPr="00525200" w:rsidTr="00395352">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525200" w:rsidRDefault="0039535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2.484.565.323</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2.622.303.337</w:t>
            </w:r>
          </w:p>
        </w:tc>
      </w:tr>
      <w:tr w:rsidR="00DF5F80" w:rsidRPr="00525200" w:rsidTr="00395352">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525200" w:rsidRDefault="00395352" w:rsidP="00395352">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3.009.202.475</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2.822.337.670</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ngắn hạn</w:t>
            </w:r>
          </w:p>
        </w:tc>
        <w:tc>
          <w:tcPr>
            <w:tcW w:w="1660" w:type="dxa"/>
            <w:tcBorders>
              <w:top w:val="nil"/>
              <w:left w:val="nil"/>
              <w:bottom w:val="nil"/>
              <w:right w:val="nil"/>
            </w:tcBorders>
            <w:shd w:val="clear" w:color="auto" w:fill="auto"/>
            <w:noWrap/>
            <w:vAlign w:val="bottom"/>
            <w:hideMark/>
          </w:tcPr>
          <w:p w:rsidR="00DF5F80" w:rsidRPr="00395352" w:rsidRDefault="00395352" w:rsidP="00DF5F80">
            <w:pPr>
              <w:spacing w:after="0" w:line="240" w:lineRule="auto"/>
              <w:jc w:val="right"/>
              <w:rPr>
                <w:rFonts w:ascii="Times New Roman" w:eastAsia="Times New Roman" w:hAnsi="Times New Roman" w:cs="Times New Roman"/>
              </w:rPr>
            </w:pPr>
            <w:r w:rsidRPr="00395352">
              <w:rPr>
                <w:rFonts w:ascii="Times New Roman" w:eastAsia="Times New Roman" w:hAnsi="Times New Roman" w:cs="Times New Roman"/>
                <w:iCs/>
              </w:rPr>
              <w:t>39.941.393.923</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13.835.470.424</w:t>
            </w:r>
          </w:p>
        </w:tc>
      </w:tr>
      <w:tr w:rsidR="00DF5F80" w:rsidRPr="00525200" w:rsidTr="00DF5F80">
        <w:trPr>
          <w:trHeight w:val="435"/>
        </w:trPr>
        <w:tc>
          <w:tcPr>
            <w:tcW w:w="4551" w:type="dxa"/>
            <w:tcBorders>
              <w:top w:val="nil"/>
              <w:left w:val="nil"/>
              <w:bottom w:val="nil"/>
              <w:right w:val="nil"/>
            </w:tcBorders>
            <w:shd w:val="clear" w:color="auto" w:fill="auto"/>
            <w:noWrap/>
            <w:vAlign w:val="bottom"/>
            <w:hideMark/>
          </w:tcPr>
          <w:p w:rsidR="00DF5F80" w:rsidRPr="00525200" w:rsidRDefault="00DF5F80" w:rsidP="00DD501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sidR="00DD5018">
              <w:rPr>
                <w:rFonts w:ascii="Times New Roman" w:eastAsia="Times New Roman" w:hAnsi="Times New Roman" w:cs="Times New Roman"/>
              </w:rPr>
              <w:t>+</w:t>
            </w:r>
            <w:r w:rsidRPr="00525200">
              <w:rPr>
                <w:rFonts w:ascii="Times New Roman" w:eastAsia="Times New Roman" w:hAnsi="Times New Roman" w:cs="Times New Roman"/>
              </w:rPr>
              <w:t xml:space="preserve"> Ngân hàng ngoại thương</w:t>
            </w:r>
          </w:p>
        </w:tc>
        <w:tc>
          <w:tcPr>
            <w:tcW w:w="1660" w:type="dxa"/>
            <w:tcBorders>
              <w:top w:val="nil"/>
              <w:left w:val="nil"/>
              <w:bottom w:val="nil"/>
              <w:right w:val="nil"/>
            </w:tcBorders>
            <w:shd w:val="clear" w:color="auto" w:fill="auto"/>
            <w:noWrap/>
            <w:vAlign w:val="bottom"/>
            <w:hideMark/>
          </w:tcPr>
          <w:p w:rsidR="00DF5F80" w:rsidRPr="00DD5018" w:rsidRDefault="00395352"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39.941.393.923</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11.835.470.424</w:t>
            </w:r>
          </w:p>
        </w:tc>
      </w:tr>
      <w:tr w:rsidR="00DD5018" w:rsidRPr="00525200" w:rsidTr="00DD5018">
        <w:trPr>
          <w:trHeight w:val="435"/>
        </w:trPr>
        <w:tc>
          <w:tcPr>
            <w:tcW w:w="4551" w:type="dxa"/>
            <w:tcBorders>
              <w:top w:val="nil"/>
              <w:left w:val="nil"/>
              <w:bottom w:val="nil"/>
              <w:right w:val="nil"/>
            </w:tcBorders>
            <w:shd w:val="clear" w:color="auto" w:fill="auto"/>
            <w:noWrap/>
            <w:vAlign w:val="bottom"/>
          </w:tcPr>
          <w:p w:rsidR="00DD5018" w:rsidRPr="00525200" w:rsidRDefault="00DD5018" w:rsidP="00DD501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Pr>
                <w:rFonts w:ascii="Times New Roman" w:eastAsia="Times New Roman" w:hAnsi="Times New Roman" w:cs="Times New Roman"/>
              </w:rPr>
              <w:t>+</w:t>
            </w:r>
            <w:r w:rsidRPr="00525200">
              <w:rPr>
                <w:rFonts w:ascii="Times New Roman" w:eastAsia="Times New Roman" w:hAnsi="Times New Roman" w:cs="Times New Roman"/>
              </w:rPr>
              <w:t xml:space="preserve"> Quỹ tín dụng NDPL</w:t>
            </w:r>
          </w:p>
        </w:tc>
        <w:tc>
          <w:tcPr>
            <w:tcW w:w="1660" w:type="dxa"/>
            <w:tcBorders>
              <w:top w:val="nil"/>
              <w:left w:val="nil"/>
              <w:bottom w:val="nil"/>
              <w:right w:val="nil"/>
            </w:tcBorders>
            <w:shd w:val="clear" w:color="auto" w:fill="auto"/>
            <w:noWrap/>
            <w:vAlign w:val="bottom"/>
          </w:tcPr>
          <w:p w:rsidR="00DD5018" w:rsidRPr="00DD5018" w:rsidRDefault="00DD5018" w:rsidP="001064A6">
            <w:pPr>
              <w:spacing w:after="0" w:line="240" w:lineRule="auto"/>
              <w:jc w:val="right"/>
              <w:rPr>
                <w:rFonts w:ascii="Times New Roman" w:eastAsia="Times New Roman" w:hAnsi="Times New Roman" w:cs="Times New Roman"/>
                <w:i/>
                <w:iCs/>
              </w:rPr>
            </w:pPr>
          </w:p>
        </w:tc>
        <w:tc>
          <w:tcPr>
            <w:tcW w:w="1459" w:type="dxa"/>
            <w:tcBorders>
              <w:top w:val="nil"/>
              <w:left w:val="nil"/>
              <w:bottom w:val="nil"/>
              <w:right w:val="nil"/>
            </w:tcBorders>
            <w:shd w:val="clear" w:color="auto" w:fill="auto"/>
            <w:noWrap/>
            <w:vAlign w:val="bottom"/>
          </w:tcPr>
          <w:p w:rsidR="00DD5018" w:rsidRPr="00525200" w:rsidRDefault="00DD5018" w:rsidP="001064A6">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D5018" w:rsidRPr="00525200" w:rsidRDefault="00DD5018" w:rsidP="001064A6">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2.000.000.000</w:t>
            </w:r>
          </w:p>
        </w:tc>
      </w:tr>
      <w:tr w:rsidR="00DD5018" w:rsidRPr="00525200" w:rsidTr="00DD5018">
        <w:trPr>
          <w:trHeight w:val="435"/>
        </w:trPr>
        <w:tc>
          <w:tcPr>
            <w:tcW w:w="4551" w:type="dxa"/>
            <w:tcBorders>
              <w:top w:val="nil"/>
              <w:left w:val="nil"/>
              <w:bottom w:val="nil"/>
              <w:right w:val="nil"/>
            </w:tcBorders>
            <w:shd w:val="clear" w:color="auto" w:fill="auto"/>
            <w:noWrap/>
            <w:vAlign w:val="bottom"/>
          </w:tcPr>
          <w:p w:rsidR="00DD5018" w:rsidRPr="00525200" w:rsidRDefault="00DD5018" w:rsidP="001064A6">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tcPr>
          <w:p w:rsidR="00DD5018" w:rsidRPr="00DD5018" w:rsidRDefault="00DD5018" w:rsidP="001064A6">
            <w:pPr>
              <w:spacing w:after="0" w:line="240" w:lineRule="auto"/>
              <w:jc w:val="right"/>
              <w:rPr>
                <w:rFonts w:ascii="Times New Roman" w:eastAsia="Times New Roman" w:hAnsi="Times New Roman" w:cs="Times New Roman"/>
                <w:iCs/>
              </w:rPr>
            </w:pPr>
          </w:p>
        </w:tc>
        <w:tc>
          <w:tcPr>
            <w:tcW w:w="1459" w:type="dxa"/>
            <w:tcBorders>
              <w:top w:val="nil"/>
              <w:left w:val="nil"/>
              <w:bottom w:val="nil"/>
              <w:right w:val="nil"/>
            </w:tcBorders>
            <w:shd w:val="clear" w:color="auto" w:fill="auto"/>
            <w:noWrap/>
            <w:vAlign w:val="bottom"/>
          </w:tcPr>
          <w:p w:rsidR="00DD5018" w:rsidRPr="00DD5018" w:rsidRDefault="00DD5018" w:rsidP="001064A6">
            <w:pPr>
              <w:spacing w:after="0" w:line="240" w:lineRule="auto"/>
              <w:rPr>
                <w:rFonts w:ascii="Times New Roman" w:eastAsia="Times New Roman" w:hAnsi="Times New Roman" w:cs="Times New Roman"/>
                <w:iCs/>
              </w:rPr>
            </w:pPr>
          </w:p>
        </w:tc>
        <w:tc>
          <w:tcPr>
            <w:tcW w:w="1780" w:type="dxa"/>
            <w:tcBorders>
              <w:top w:val="nil"/>
              <w:left w:val="nil"/>
              <w:bottom w:val="nil"/>
              <w:right w:val="nil"/>
            </w:tcBorders>
            <w:shd w:val="clear" w:color="auto" w:fill="auto"/>
            <w:noWrap/>
            <w:vAlign w:val="bottom"/>
          </w:tcPr>
          <w:p w:rsidR="00DD5018" w:rsidRPr="00DD5018" w:rsidRDefault="00DD5018" w:rsidP="001064A6">
            <w:pPr>
              <w:spacing w:after="0" w:line="240" w:lineRule="auto"/>
              <w:jc w:val="right"/>
              <w:rPr>
                <w:rFonts w:ascii="Times New Roman" w:eastAsia="Times New Roman" w:hAnsi="Times New Roman" w:cs="Times New Roman"/>
                <w:iCs/>
              </w:rPr>
            </w:pPr>
            <w:r w:rsidRPr="00DD5018">
              <w:rPr>
                <w:rFonts w:ascii="Times New Roman" w:eastAsia="Times New Roman" w:hAnsi="Times New Roman" w:cs="Times New Roman"/>
                <w:iCs/>
              </w:rPr>
              <w:t>6.081.906.717</w:t>
            </w:r>
          </w:p>
        </w:tc>
      </w:tr>
      <w:tr w:rsidR="00DD5018" w:rsidRPr="00525200" w:rsidTr="00DF5F80">
        <w:trPr>
          <w:trHeight w:val="33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395352" w:rsidRDefault="00395352" w:rsidP="00DF5F80">
            <w:pPr>
              <w:spacing w:after="0" w:line="240" w:lineRule="auto"/>
              <w:jc w:val="right"/>
              <w:rPr>
                <w:rFonts w:ascii="Times New Roman" w:eastAsia="Times New Roman" w:hAnsi="Times New Roman" w:cs="Times New Roman"/>
                <w:b/>
                <w:bCs/>
              </w:rPr>
            </w:pPr>
            <w:r w:rsidRPr="00395352">
              <w:rPr>
                <w:rFonts w:ascii="Times New Roman" w:eastAsia="Times New Roman" w:hAnsi="Times New Roman" w:cs="Times New Roman"/>
                <w:b/>
                <w:iCs/>
              </w:rPr>
              <w:t>39.941.393.923</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19.917.377.141</w:t>
            </w:r>
          </w:p>
        </w:tc>
      </w:tr>
      <w:tr w:rsidR="00DD5018" w:rsidRPr="00525200" w:rsidTr="00DF5F80">
        <w:trPr>
          <w:trHeight w:val="450"/>
        </w:trPr>
        <w:tc>
          <w:tcPr>
            <w:tcW w:w="4551"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6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270"/>
        </w:trPr>
        <w:tc>
          <w:tcPr>
            <w:tcW w:w="4551"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D5018" w:rsidRPr="00525200" w:rsidRDefault="00395352" w:rsidP="004763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476376">
              <w:rPr>
                <w:rFonts w:ascii="Times New Roman" w:eastAsia="Times New Roman" w:hAnsi="Times New Roman" w:cs="Times New Roman"/>
              </w:rPr>
              <w:t>784.682.935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D5018" w:rsidRPr="00525200" w:rsidRDefault="00476376"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1.602.148.020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D5018" w:rsidRPr="00525200" w:rsidRDefault="0039535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9.489.880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2.043.120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lastRenderedPageBreak/>
              <w:t xml:space="preserve">    - Các loại thuế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476376"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3.396.320.835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2.043.120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D5018" w:rsidRPr="00525200" w:rsidRDefault="0039535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350.219.755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246.978.190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D5018" w:rsidRPr="00525200" w:rsidRDefault="00395352" w:rsidP="00BB23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16.752.807</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566.206.120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D5018" w:rsidRPr="00525200" w:rsidRDefault="00DD5018" w:rsidP="00BB2332">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108.990.657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D5018" w:rsidRPr="00525200" w:rsidRDefault="00DD5018" w:rsidP="00BB2332">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48.220.810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5.201.929.269</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D5018" w:rsidRPr="00525200" w:rsidRDefault="0039535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5.538.233.610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16.317.210.400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EE1D26"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19.464.782.819</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22.489.535.446</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u w:val="single"/>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D5018" w:rsidRPr="00525200" w:rsidRDefault="00B930FC"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69.672.225.915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69.154.319.883</w:t>
            </w:r>
          </w:p>
        </w:tc>
      </w:tr>
      <w:tr w:rsidR="00DD5018" w:rsidRPr="00525200" w:rsidTr="00DF5F80">
        <w:trPr>
          <w:trHeight w:val="285"/>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6.980.000.000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6.980.000.000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B930FC">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76.</w:t>
            </w:r>
            <w:r w:rsidR="00B930FC">
              <w:rPr>
                <w:rFonts w:ascii="Times New Roman" w:eastAsia="Times New Roman" w:hAnsi="Times New Roman" w:cs="Times New Roman"/>
                <w:b/>
                <w:bCs/>
              </w:rPr>
              <w:t>652.225.915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76.134.319.883</w:t>
            </w:r>
          </w:p>
        </w:tc>
      </w:tr>
    </w:tbl>
    <w:p w:rsidR="00DF5F80" w:rsidRPr="00525200" w:rsidRDefault="00DF5F80">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tbl>
      <w:tblPr>
        <w:tblW w:w="10269" w:type="dxa"/>
        <w:tblInd w:w="93" w:type="dxa"/>
        <w:tblLook w:val="04A0" w:firstRow="1" w:lastRow="0" w:firstColumn="1" w:lastColumn="0" w:noHBand="0" w:noVBand="1"/>
      </w:tblPr>
      <w:tblGrid>
        <w:gridCol w:w="2283"/>
        <w:gridCol w:w="1341"/>
        <w:gridCol w:w="218"/>
        <w:gridCol w:w="1033"/>
        <w:gridCol w:w="558"/>
        <w:gridCol w:w="783"/>
        <w:gridCol w:w="887"/>
        <w:gridCol w:w="364"/>
        <w:gridCol w:w="1227"/>
        <w:gridCol w:w="144"/>
        <w:gridCol w:w="958"/>
        <w:gridCol w:w="473"/>
      </w:tblGrid>
      <w:tr w:rsidR="00461E9F" w:rsidRPr="00525200" w:rsidTr="002657C0">
        <w:trPr>
          <w:trHeight w:val="300"/>
        </w:trPr>
        <w:tc>
          <w:tcPr>
            <w:tcW w:w="228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37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43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2657C0">
        <w:trPr>
          <w:trHeight w:val="300"/>
        </w:trPr>
        <w:tc>
          <w:tcPr>
            <w:tcW w:w="10269" w:type="dxa"/>
            <w:gridSpan w:val="1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a. Bảng đối chiếu biến động của vốn chủ sở hữu </w:t>
            </w:r>
          </w:p>
        </w:tc>
      </w:tr>
      <w:tr w:rsidR="00461E9F" w:rsidRPr="00525200" w:rsidTr="002657C0">
        <w:trPr>
          <w:trHeight w:val="9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525200" w:rsidRDefault="00461E9F" w:rsidP="00461E9F">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Quỹ đầu tư </w:t>
            </w:r>
            <w:r w:rsidRPr="00525200">
              <w:rPr>
                <w:rFonts w:ascii="Times New Roman" w:eastAsia="Times New Roman" w:hAnsi="Times New Roman" w:cs="Times New Roman"/>
                <w:b/>
                <w:bCs/>
                <w:sz w:val="20"/>
                <w:szCs w:val="20"/>
              </w:rPr>
              <w:br/>
              <w:t>phát triển</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Quỹ dự phòng </w:t>
            </w:r>
            <w:r w:rsidRPr="00525200">
              <w:rPr>
                <w:rFonts w:ascii="Times New Roman" w:eastAsia="Times New Roman" w:hAnsi="Times New Roman" w:cs="Times New Roman"/>
                <w:b/>
                <w:bCs/>
                <w:sz w:val="20"/>
                <w:szCs w:val="20"/>
              </w:rPr>
              <w:br/>
              <w:t>tài chính</w:t>
            </w:r>
          </w:p>
        </w:tc>
        <w:tc>
          <w:tcPr>
            <w:tcW w:w="137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Lợi nhuận sau thuế chưa phân phối</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Cộng</w:t>
            </w:r>
          </w:p>
        </w:tc>
      </w:tr>
      <w:tr w:rsidR="00461E9F" w:rsidRPr="00525200" w:rsidTr="002657C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4</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7</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17.925.073.346</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3.767.970.610</w:t>
            </w: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5.606.268.618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122.212.312.574 </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8.391.165.118</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771.391.618</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280.313.000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(1.556.268.618)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504.564.000</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(4.050.000.000)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4.050.000.000</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109.266.583.456 </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B930FC"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B930FC" w:rsidRPr="00525200" w:rsidRDefault="00B930FC"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B930FC" w:rsidRPr="00525200" w:rsidRDefault="00B930FC"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B930FC" w:rsidRPr="00525200" w:rsidRDefault="00B930FC"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930FC" w:rsidRPr="00525200" w:rsidRDefault="00B930FC"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B930FC" w:rsidRPr="00525200" w:rsidRDefault="00B930FC"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B930FC" w:rsidRPr="00525200" w:rsidRDefault="00476376"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37.571.731.264</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B930FC" w:rsidRPr="00525200" w:rsidRDefault="00476376" w:rsidP="00695545">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37.571.731.264</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76376"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29.180.403.708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76376"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146.838.152.282</w:t>
            </w:r>
            <w:r w:rsidR="00461E9F" w:rsidRPr="00525200">
              <w:rPr>
                <w:rFonts w:ascii="Times New Roman" w:eastAsia="Times New Roman" w:hAnsi="Times New Roman" w:cs="Times New Roman"/>
                <w:b/>
                <w:bCs/>
                <w:color w:val="000000"/>
                <w:sz w:val="18"/>
                <w:szCs w:val="18"/>
              </w:rPr>
              <w:t xml:space="preserve"> </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VNĐ</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VNĐ</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B930FC">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sidR="00B930FC">
              <w:rPr>
                <w:rFonts w:ascii="Times New Roman" w:eastAsia="Times New Roman" w:hAnsi="Times New Roman" w:cs="Times New Roman"/>
              </w:rPr>
              <w:t>3.000</w:t>
            </w:r>
            <w:r w:rsidRPr="00525200">
              <w:rPr>
                <w:rFonts w:ascii="Times New Roman" w:eastAsia="Times New Roman" w:hAnsi="Times New Roman" w:cs="Times New Roman"/>
              </w:rPr>
              <w:t xml:space="preserve">.000.000 </w:t>
            </w:r>
          </w:p>
        </w:tc>
        <w:tc>
          <w:tcPr>
            <w:tcW w:w="1670" w:type="dxa"/>
            <w:gridSpan w:val="2"/>
            <w:tcBorders>
              <w:top w:val="nil"/>
              <w:left w:val="nil"/>
              <w:bottom w:val="nil"/>
              <w:right w:val="nil"/>
            </w:tcBorders>
            <w:shd w:val="clear" w:color="auto" w:fill="auto"/>
            <w:noWrap/>
            <w:vAlign w:val="bottom"/>
            <w:hideMark/>
          </w:tcPr>
          <w:p w:rsidR="00461E9F" w:rsidRPr="00525200" w:rsidRDefault="00523FC2" w:rsidP="00B930FC">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 xml:space="preserve"> </w:t>
            </w:r>
            <w:r w:rsidR="00B930FC">
              <w:rPr>
                <w:rFonts w:ascii="Times New Roman" w:eastAsia="Times New Roman" w:hAnsi="Times New Roman" w:cs="Times New Roman"/>
              </w:rPr>
              <w:t>3,33</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5.345.000.000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5,94</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13.300.000.000 </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14,78</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13.300.000.000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14,78</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B930FC" w:rsidRDefault="00461E9F" w:rsidP="00B930FC">
            <w:pPr>
              <w:spacing w:after="0" w:line="240" w:lineRule="auto"/>
              <w:rPr>
                <w:rFonts w:ascii="Times New Roman" w:eastAsia="Times New Roman" w:hAnsi="Times New Roman" w:cs="Times New Roman"/>
              </w:rPr>
            </w:pPr>
            <w:r w:rsidRPr="00B930FC">
              <w:rPr>
                <w:rFonts w:ascii="Times New Roman" w:eastAsia="Times New Roman" w:hAnsi="Times New Roman" w:cs="Times New Roman"/>
              </w:rPr>
              <w:t xml:space="preserve">   </w:t>
            </w:r>
            <w:r w:rsidR="00B930FC">
              <w:rPr>
                <w:rFonts w:ascii="Times New Roman" w:eastAsia="Times New Roman" w:hAnsi="Times New Roman" w:cs="Times New Roman"/>
              </w:rPr>
              <w:t>73.700</w:t>
            </w:r>
            <w:r w:rsidRPr="00B930FC">
              <w:rPr>
                <w:rFonts w:ascii="Times New Roman" w:eastAsia="Times New Roman" w:hAnsi="Times New Roman" w:cs="Times New Roman"/>
              </w:rPr>
              <w:t xml:space="preserve">.000.000 </w:t>
            </w:r>
          </w:p>
        </w:tc>
        <w:tc>
          <w:tcPr>
            <w:tcW w:w="1670" w:type="dxa"/>
            <w:gridSpan w:val="2"/>
            <w:tcBorders>
              <w:top w:val="nil"/>
              <w:left w:val="nil"/>
              <w:bottom w:val="nil"/>
              <w:right w:val="nil"/>
            </w:tcBorders>
            <w:shd w:val="clear" w:color="auto" w:fill="auto"/>
            <w:noWrap/>
            <w:vAlign w:val="bottom"/>
            <w:hideMark/>
          </w:tcPr>
          <w:p w:rsidR="00461E9F" w:rsidRPr="00525200" w:rsidRDefault="00B930FC" w:rsidP="00461E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81,89</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62.455.000.000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69,39</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100</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100</w:t>
            </w:r>
          </w:p>
        </w:tc>
      </w:tr>
    </w:tbl>
    <w:p w:rsidR="00461E9F" w:rsidRPr="00525200" w:rsidRDefault="00461E9F">
      <w:pPr>
        <w:rPr>
          <w:rFonts w:ascii="Times New Roman" w:hAnsi="Times New Roman" w:cs="Times New Roman"/>
        </w:rPr>
      </w:pPr>
    </w:p>
    <w:tbl>
      <w:tblPr>
        <w:tblW w:w="9689" w:type="dxa"/>
        <w:tblInd w:w="93" w:type="dxa"/>
        <w:tblLook w:val="04A0" w:firstRow="1" w:lastRow="0" w:firstColumn="1" w:lastColumn="0" w:noHBand="0" w:noVBand="1"/>
      </w:tblPr>
      <w:tblGrid>
        <w:gridCol w:w="5685"/>
        <w:gridCol w:w="1701"/>
        <w:gridCol w:w="523"/>
        <w:gridCol w:w="1780"/>
      </w:tblGrid>
      <w:tr w:rsidR="00461E9F" w:rsidRPr="00525200" w:rsidTr="00D76440">
        <w:trPr>
          <w:trHeight w:val="300"/>
        </w:trPr>
        <w:tc>
          <w:tcPr>
            <w:tcW w:w="7909"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Vốn đầu tư của chủ sở hữu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6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đầu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tăng trong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giảm trong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Vốn góp cuối năm</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đ. Cổ phiếu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lastRenderedPageBreak/>
              <w:t xml:space="preserve">    - Số lượng cổ phiếu đăng ký phát hành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đã bán ra công chúng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được mua lại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đang lưu hành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r>
      <w:tr w:rsidR="00461E9F" w:rsidRPr="00525200" w:rsidTr="00D76440">
        <w:trPr>
          <w:trHeight w:val="31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9.000.000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Mệnh giá cổ phiếu đang lưu </w:t>
            </w:r>
            <w:proofErr w:type="gramStart"/>
            <w:r w:rsidRPr="00525200">
              <w:rPr>
                <w:rFonts w:ascii="Times New Roman" w:eastAsia="Times New Roman" w:hAnsi="Times New Roman" w:cs="Times New Roman"/>
              </w:rPr>
              <w:t>hành ..................</w:t>
            </w:r>
            <w:proofErr w:type="gramEnd"/>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10.000Đ/CP</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450"/>
        </w:trPr>
        <w:tc>
          <w:tcPr>
            <w:tcW w:w="9689" w:type="dxa"/>
            <w:gridSpan w:val="4"/>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86501B" w:rsidRPr="00525200" w:rsidRDefault="0086501B" w:rsidP="00461E9F">
            <w:pPr>
              <w:spacing w:after="0" w:line="240" w:lineRule="auto"/>
              <w:rPr>
                <w:rFonts w:ascii="Times New Roman" w:eastAsia="Times New Roman" w:hAnsi="Times New Roman" w:cs="Times New Roman"/>
                <w:b/>
                <w:bCs/>
              </w:rPr>
            </w:pPr>
          </w:p>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18. Tổng doanh thu bán hàng và cung cấp dịch vụ (Mã số 01)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40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bán hàng</w:t>
            </w:r>
          </w:p>
        </w:tc>
        <w:tc>
          <w:tcPr>
            <w:tcW w:w="1701" w:type="dxa"/>
            <w:tcBorders>
              <w:top w:val="nil"/>
              <w:left w:val="nil"/>
              <w:bottom w:val="nil"/>
              <w:right w:val="nil"/>
            </w:tcBorders>
            <w:shd w:val="clear" w:color="auto" w:fill="auto"/>
            <w:noWrap/>
            <w:vAlign w:val="bottom"/>
            <w:hideMark/>
          </w:tcPr>
          <w:p w:rsidR="00461E9F" w:rsidRPr="00525200" w:rsidRDefault="00E8025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214.701.163.089</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E8025D" w:rsidRDefault="00E8025D" w:rsidP="00461E9F">
            <w:pPr>
              <w:spacing w:after="0" w:line="240" w:lineRule="auto"/>
              <w:jc w:val="right"/>
              <w:rPr>
                <w:rFonts w:ascii="Times New Roman" w:eastAsia="Times New Roman" w:hAnsi="Times New Roman" w:cs="Times New Roman"/>
              </w:rPr>
            </w:pPr>
            <w:r w:rsidRPr="00E8025D">
              <w:rPr>
                <w:rFonts w:ascii="Times New Roman" w:eastAsia="Times New Roman" w:hAnsi="Times New Roman" w:cs="Times New Roman"/>
              </w:rPr>
              <w:t>67.362.282.575</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cung cấp dịch vụ</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hợp đồng xây dựng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E8025D" w:rsidRPr="003C5605" w:rsidTr="00D76440">
        <w:trPr>
          <w:trHeight w:val="405"/>
        </w:trPr>
        <w:tc>
          <w:tcPr>
            <w:tcW w:w="5685" w:type="dxa"/>
            <w:tcBorders>
              <w:top w:val="nil"/>
              <w:left w:val="nil"/>
              <w:bottom w:val="nil"/>
              <w:right w:val="nil"/>
            </w:tcBorders>
            <w:shd w:val="clear" w:color="auto" w:fill="auto"/>
            <w:noWrap/>
            <w:vAlign w:val="bottom"/>
            <w:hideMark/>
          </w:tcPr>
          <w:p w:rsidR="00E8025D" w:rsidRPr="003C5605" w:rsidRDefault="00E8025D" w:rsidP="00461E9F">
            <w:pPr>
              <w:spacing w:after="0" w:line="240" w:lineRule="auto"/>
              <w:rPr>
                <w:rFonts w:ascii="Times New Roman" w:eastAsia="Times New Roman" w:hAnsi="Times New Roman" w:cs="Times New Roman"/>
                <w:b/>
                <w:bCs/>
              </w:rPr>
            </w:pPr>
            <w:r w:rsidRPr="003C5605">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E8025D" w:rsidRPr="00E8025D" w:rsidRDefault="00E8025D" w:rsidP="00695545">
            <w:pPr>
              <w:spacing w:after="0" w:line="240" w:lineRule="auto"/>
              <w:jc w:val="right"/>
              <w:rPr>
                <w:rFonts w:ascii="Times New Roman" w:eastAsia="Times New Roman" w:hAnsi="Times New Roman" w:cs="Times New Roman"/>
                <w:b/>
              </w:rPr>
            </w:pPr>
            <w:r w:rsidRPr="00E8025D">
              <w:rPr>
                <w:rFonts w:ascii="Times New Roman" w:eastAsia="Times New Roman" w:hAnsi="Times New Roman" w:cs="Times New Roman"/>
                <w:b/>
              </w:rPr>
              <w:t>214.701.163.089</w:t>
            </w:r>
          </w:p>
        </w:tc>
        <w:tc>
          <w:tcPr>
            <w:tcW w:w="523" w:type="dxa"/>
            <w:tcBorders>
              <w:top w:val="nil"/>
              <w:left w:val="nil"/>
              <w:bottom w:val="nil"/>
              <w:right w:val="nil"/>
            </w:tcBorders>
            <w:shd w:val="clear" w:color="auto" w:fill="auto"/>
            <w:noWrap/>
            <w:vAlign w:val="bottom"/>
            <w:hideMark/>
          </w:tcPr>
          <w:p w:rsidR="00E8025D" w:rsidRPr="003C5605" w:rsidRDefault="00E8025D"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E8025D" w:rsidRPr="003C5605" w:rsidRDefault="00E8025D" w:rsidP="00461E9F">
            <w:pPr>
              <w:spacing w:after="0" w:line="240" w:lineRule="auto"/>
              <w:jc w:val="right"/>
              <w:rPr>
                <w:rFonts w:ascii="Times New Roman" w:eastAsia="Times New Roman" w:hAnsi="Times New Roman" w:cs="Times New Roman"/>
                <w:b/>
                <w:bCs/>
              </w:rPr>
            </w:pPr>
            <w:r w:rsidRPr="00E8025D">
              <w:rPr>
                <w:rFonts w:ascii="Times New Roman" w:eastAsia="Times New Roman" w:hAnsi="Times New Roman" w:cs="Times New Roman"/>
                <w:b/>
              </w:rPr>
              <w:t>67.362.282.575</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19. Các khoản giảm trừ doanh thu (Mã số 02)</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Trong đó</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46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Chiết khấu thương mại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241.884.407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Giảm giá hàng bán</w:t>
            </w:r>
          </w:p>
        </w:tc>
        <w:tc>
          <w:tcPr>
            <w:tcW w:w="1701" w:type="dxa"/>
            <w:tcBorders>
              <w:top w:val="nil"/>
              <w:left w:val="nil"/>
              <w:bottom w:val="nil"/>
              <w:right w:val="nil"/>
            </w:tcBorders>
            <w:shd w:val="clear" w:color="auto" w:fill="auto"/>
            <w:noWrap/>
            <w:vAlign w:val="bottom"/>
            <w:hideMark/>
          </w:tcPr>
          <w:p w:rsidR="00461E9F" w:rsidRPr="00525200" w:rsidRDefault="003C5605"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1.442.172.366</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GTGT phải nộp (PP trực tiếp)</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tiêu thụ đặc biệt</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xuất khẩu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6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3C5605" w:rsidRDefault="003C5605" w:rsidP="00461E9F">
            <w:pPr>
              <w:spacing w:after="0" w:line="240" w:lineRule="auto"/>
              <w:jc w:val="right"/>
              <w:rPr>
                <w:rFonts w:ascii="Times New Roman" w:eastAsia="Times New Roman" w:hAnsi="Times New Roman" w:cs="Times New Roman"/>
                <w:b/>
                <w:bCs/>
              </w:rPr>
            </w:pPr>
            <w:r w:rsidRPr="003C5605">
              <w:rPr>
                <w:rFonts w:ascii="Times New Roman" w:eastAsia="Times New Roman" w:hAnsi="Times New Roman" w:cs="Times New Roman"/>
                <w:b/>
              </w:rPr>
              <w:t>1.442.172.366</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241.884.407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20. Doanh thu thuần về bán hàng vầ cung cấp dịch vụ (Mã số 10)</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42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thuần về bán hàng</w:t>
            </w:r>
          </w:p>
        </w:tc>
        <w:tc>
          <w:tcPr>
            <w:tcW w:w="1701" w:type="dxa"/>
            <w:tcBorders>
              <w:top w:val="nil"/>
              <w:left w:val="nil"/>
              <w:bottom w:val="nil"/>
              <w:right w:val="nil"/>
            </w:tcBorders>
            <w:shd w:val="clear" w:color="auto" w:fill="auto"/>
            <w:noWrap/>
            <w:vAlign w:val="bottom"/>
            <w:hideMark/>
          </w:tcPr>
          <w:p w:rsidR="00461E9F" w:rsidRPr="00525200" w:rsidRDefault="00E8025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213.258.990.723</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E8025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50.851.586.109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thuần về cung cấp dịch vụ</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F00A71" w:rsidRPr="00525200" w:rsidTr="00D76440">
        <w:trPr>
          <w:trHeight w:val="390"/>
        </w:trPr>
        <w:tc>
          <w:tcPr>
            <w:tcW w:w="5685" w:type="dxa"/>
            <w:tcBorders>
              <w:top w:val="nil"/>
              <w:left w:val="nil"/>
              <w:bottom w:val="nil"/>
              <w:right w:val="nil"/>
            </w:tcBorders>
            <w:shd w:val="clear" w:color="auto" w:fill="auto"/>
            <w:noWrap/>
            <w:vAlign w:val="bottom"/>
            <w:hideMark/>
          </w:tcPr>
          <w:p w:rsidR="00F00A71" w:rsidRPr="00525200" w:rsidRDefault="00F00A71" w:rsidP="00461E9F">
            <w:pPr>
              <w:spacing w:after="0" w:line="240" w:lineRule="auto"/>
              <w:rPr>
                <w:rFonts w:ascii="Times New Roman" w:eastAsia="Times New Roman" w:hAnsi="Times New Roman" w:cs="Times New Roman"/>
              </w:rPr>
            </w:pPr>
          </w:p>
        </w:tc>
        <w:tc>
          <w:tcPr>
            <w:tcW w:w="1701" w:type="dxa"/>
            <w:tcBorders>
              <w:top w:val="single" w:sz="4" w:space="0" w:color="auto"/>
              <w:left w:val="nil"/>
              <w:bottom w:val="double" w:sz="6" w:space="0" w:color="auto"/>
              <w:right w:val="nil"/>
            </w:tcBorders>
            <w:shd w:val="clear" w:color="auto" w:fill="auto"/>
            <w:noWrap/>
            <w:vAlign w:val="bottom"/>
            <w:hideMark/>
          </w:tcPr>
          <w:p w:rsidR="00F00A71" w:rsidRPr="00F00A71" w:rsidRDefault="00F00A71" w:rsidP="00695545">
            <w:pPr>
              <w:spacing w:after="0" w:line="240" w:lineRule="auto"/>
              <w:jc w:val="right"/>
              <w:rPr>
                <w:rFonts w:ascii="Times New Roman" w:eastAsia="Times New Roman" w:hAnsi="Times New Roman" w:cs="Times New Roman"/>
                <w:b/>
              </w:rPr>
            </w:pPr>
            <w:r w:rsidRPr="00F00A71">
              <w:rPr>
                <w:rFonts w:ascii="Times New Roman" w:eastAsia="Times New Roman" w:hAnsi="Times New Roman" w:cs="Times New Roman"/>
                <w:b/>
              </w:rPr>
              <w:t>213.258.990.723</w:t>
            </w:r>
          </w:p>
        </w:tc>
        <w:tc>
          <w:tcPr>
            <w:tcW w:w="523" w:type="dxa"/>
            <w:tcBorders>
              <w:top w:val="nil"/>
              <w:left w:val="nil"/>
              <w:bottom w:val="nil"/>
              <w:right w:val="nil"/>
            </w:tcBorders>
            <w:shd w:val="clear" w:color="auto" w:fill="auto"/>
            <w:noWrap/>
            <w:vAlign w:val="bottom"/>
            <w:hideMark/>
          </w:tcPr>
          <w:p w:rsidR="00F00A71" w:rsidRPr="00D76440" w:rsidRDefault="00F00A71" w:rsidP="001064A6">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F00A71" w:rsidRPr="00F00A71" w:rsidRDefault="00F00A71" w:rsidP="00695545">
            <w:pPr>
              <w:spacing w:after="0" w:line="240" w:lineRule="auto"/>
              <w:jc w:val="right"/>
              <w:rPr>
                <w:rFonts w:ascii="Times New Roman" w:eastAsia="Times New Roman" w:hAnsi="Times New Roman" w:cs="Times New Roman"/>
                <w:b/>
              </w:rPr>
            </w:pPr>
            <w:r w:rsidRPr="00F00A71">
              <w:rPr>
                <w:rFonts w:ascii="Times New Roman" w:eastAsia="Times New Roman" w:hAnsi="Times New Roman" w:cs="Times New Roman"/>
                <w:b/>
              </w:rPr>
              <w:t>50.851.586.109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21. Giá vốn hàng bán (Mã số 11)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hàng hoá đã bán</w:t>
            </w:r>
          </w:p>
        </w:tc>
        <w:tc>
          <w:tcPr>
            <w:tcW w:w="1701" w:type="dxa"/>
            <w:tcBorders>
              <w:top w:val="nil"/>
              <w:left w:val="nil"/>
              <w:bottom w:val="nil"/>
              <w:right w:val="nil"/>
            </w:tcBorders>
            <w:shd w:val="clear" w:color="auto" w:fill="auto"/>
            <w:noWrap/>
            <w:vAlign w:val="bottom"/>
            <w:hideMark/>
          </w:tcPr>
          <w:p w:rsidR="00461E9F" w:rsidRPr="00525200" w:rsidRDefault="0047637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111.937.280.777</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50.851.586.109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thành phẩm đã bán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dịch vụ đã cung cấp</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7386"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kinh doanh Bất động sản đầu tư</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Hao hụt, mất mát hàng tồn kho</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chi phí vượt mức bình thường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Dự phòng giảm giá hàng tồn kho</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76376" w:rsidRPr="00525200" w:rsidTr="00D76440">
        <w:trPr>
          <w:trHeight w:val="360"/>
        </w:trPr>
        <w:tc>
          <w:tcPr>
            <w:tcW w:w="5685" w:type="dxa"/>
            <w:tcBorders>
              <w:top w:val="nil"/>
              <w:left w:val="nil"/>
              <w:bottom w:val="nil"/>
              <w:right w:val="nil"/>
            </w:tcBorders>
            <w:shd w:val="clear" w:color="auto" w:fill="auto"/>
            <w:noWrap/>
            <w:vAlign w:val="bottom"/>
            <w:hideMark/>
          </w:tcPr>
          <w:p w:rsidR="00476376" w:rsidRPr="00525200" w:rsidRDefault="00476376"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76376" w:rsidRPr="00476376" w:rsidRDefault="00476376" w:rsidP="00695545">
            <w:pPr>
              <w:spacing w:after="0" w:line="240" w:lineRule="auto"/>
              <w:jc w:val="right"/>
              <w:rPr>
                <w:rFonts w:ascii="Times New Roman" w:eastAsia="Times New Roman" w:hAnsi="Times New Roman" w:cs="Times New Roman"/>
                <w:b/>
              </w:rPr>
            </w:pPr>
            <w:r w:rsidRPr="00476376">
              <w:rPr>
                <w:rFonts w:ascii="Times New Roman" w:eastAsia="Times New Roman" w:hAnsi="Times New Roman" w:cs="Times New Roman"/>
                <w:b/>
              </w:rPr>
              <w:t>111.937.280.777</w:t>
            </w:r>
          </w:p>
        </w:tc>
        <w:tc>
          <w:tcPr>
            <w:tcW w:w="523" w:type="dxa"/>
            <w:tcBorders>
              <w:top w:val="nil"/>
              <w:left w:val="nil"/>
              <w:bottom w:val="nil"/>
              <w:right w:val="nil"/>
            </w:tcBorders>
            <w:shd w:val="clear" w:color="auto" w:fill="auto"/>
            <w:noWrap/>
            <w:vAlign w:val="bottom"/>
            <w:hideMark/>
          </w:tcPr>
          <w:p w:rsidR="00476376" w:rsidRPr="00D76440" w:rsidRDefault="00476376" w:rsidP="001064A6">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476376" w:rsidRPr="00F00A71" w:rsidRDefault="00476376" w:rsidP="00695545">
            <w:pPr>
              <w:spacing w:after="0" w:line="240" w:lineRule="auto"/>
              <w:jc w:val="right"/>
              <w:rPr>
                <w:rFonts w:ascii="Times New Roman" w:eastAsia="Times New Roman" w:hAnsi="Times New Roman" w:cs="Times New Roman"/>
                <w:b/>
              </w:rPr>
            </w:pPr>
            <w:r w:rsidRPr="00F00A71">
              <w:rPr>
                <w:rFonts w:ascii="Times New Roman" w:eastAsia="Times New Roman" w:hAnsi="Times New Roman" w:cs="Times New Roman"/>
                <w:b/>
              </w:rPr>
              <w:t>50.851.586.109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22. Doanh thu hoạt động tài chính (Mã số 21)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tiền gửi, tiền cho vay</w:t>
            </w:r>
          </w:p>
        </w:tc>
        <w:tc>
          <w:tcPr>
            <w:tcW w:w="1701"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38.536.172</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73.817.987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đầu tư trái phiếu, kỳ phiếu, tín phiếu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tức, lợi nhuận được chia</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bán ngoại tệ</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chênh lệch tỷ giá đã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chênh lệch tỷ giá chưa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bán hàng trả chậm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hoạt động tài chính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9F036D" w:rsidRPr="00525200" w:rsidTr="00D76440">
        <w:trPr>
          <w:trHeight w:val="300"/>
        </w:trPr>
        <w:tc>
          <w:tcPr>
            <w:tcW w:w="5685" w:type="dxa"/>
            <w:tcBorders>
              <w:top w:val="nil"/>
              <w:left w:val="nil"/>
              <w:bottom w:val="nil"/>
              <w:right w:val="nil"/>
            </w:tcBorders>
            <w:shd w:val="clear" w:color="auto" w:fill="auto"/>
            <w:noWrap/>
            <w:vAlign w:val="bottom"/>
            <w:hideMark/>
          </w:tcPr>
          <w:p w:rsidR="009F036D" w:rsidRPr="00525200" w:rsidRDefault="009F036D"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9F036D" w:rsidRPr="009F036D" w:rsidRDefault="00F00A71" w:rsidP="001064A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38.536.172</w:t>
            </w:r>
          </w:p>
        </w:tc>
        <w:tc>
          <w:tcPr>
            <w:tcW w:w="523" w:type="dxa"/>
            <w:tcBorders>
              <w:top w:val="nil"/>
              <w:left w:val="nil"/>
              <w:bottom w:val="nil"/>
              <w:right w:val="nil"/>
            </w:tcBorders>
            <w:shd w:val="clear" w:color="auto" w:fill="auto"/>
            <w:noWrap/>
            <w:vAlign w:val="bottom"/>
            <w:hideMark/>
          </w:tcPr>
          <w:p w:rsidR="009F036D" w:rsidRPr="009F036D" w:rsidRDefault="009F036D" w:rsidP="001064A6">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9F036D" w:rsidRPr="009F036D" w:rsidRDefault="00F00A71" w:rsidP="001064A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73.817.987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23. Chi phí tài chính (Mã số 22)</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7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tiền vay</w:t>
            </w:r>
          </w:p>
        </w:tc>
        <w:tc>
          <w:tcPr>
            <w:tcW w:w="1701"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10.623.467.130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9.800.727.964</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Chiết khấu thanh toán, lãi bán hàng trả chậm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do thanh lý các khoản đầu tư ngắn hạn, dài hạn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bán ngoại tệ</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chênh lệch tỷ giá đã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chênh lệch tỷ giá chưa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7386"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tài chính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F00A71" w:rsidRPr="00525200" w:rsidTr="00D76440">
        <w:trPr>
          <w:trHeight w:val="435"/>
        </w:trPr>
        <w:tc>
          <w:tcPr>
            <w:tcW w:w="5685" w:type="dxa"/>
            <w:tcBorders>
              <w:top w:val="nil"/>
              <w:left w:val="nil"/>
              <w:bottom w:val="nil"/>
              <w:right w:val="nil"/>
            </w:tcBorders>
            <w:shd w:val="clear" w:color="auto" w:fill="auto"/>
            <w:noWrap/>
            <w:vAlign w:val="bottom"/>
            <w:hideMark/>
          </w:tcPr>
          <w:p w:rsidR="00F00A71" w:rsidRPr="00525200" w:rsidRDefault="00F00A71"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F00A71" w:rsidRPr="00F00A71" w:rsidRDefault="00F00A71" w:rsidP="00695545">
            <w:pPr>
              <w:spacing w:after="0" w:line="240" w:lineRule="auto"/>
              <w:jc w:val="right"/>
              <w:rPr>
                <w:rFonts w:ascii="Times New Roman" w:eastAsia="Times New Roman" w:hAnsi="Times New Roman" w:cs="Times New Roman"/>
                <w:b/>
              </w:rPr>
            </w:pPr>
            <w:r w:rsidRPr="00F00A71">
              <w:rPr>
                <w:rFonts w:ascii="Times New Roman" w:eastAsia="Times New Roman" w:hAnsi="Times New Roman" w:cs="Times New Roman"/>
                <w:b/>
              </w:rPr>
              <w:t>10.623.467.130</w:t>
            </w:r>
          </w:p>
        </w:tc>
        <w:tc>
          <w:tcPr>
            <w:tcW w:w="523" w:type="dxa"/>
            <w:tcBorders>
              <w:top w:val="nil"/>
              <w:left w:val="nil"/>
              <w:bottom w:val="nil"/>
              <w:right w:val="nil"/>
            </w:tcBorders>
            <w:shd w:val="clear" w:color="auto" w:fill="auto"/>
            <w:noWrap/>
            <w:vAlign w:val="bottom"/>
            <w:hideMark/>
          </w:tcPr>
          <w:p w:rsidR="00F00A71" w:rsidRPr="009F036D" w:rsidRDefault="00F00A71" w:rsidP="001064A6">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F00A71" w:rsidRPr="00F00A71" w:rsidRDefault="00F00A71" w:rsidP="00695545">
            <w:pPr>
              <w:spacing w:after="0" w:line="240" w:lineRule="auto"/>
              <w:jc w:val="right"/>
              <w:rPr>
                <w:rFonts w:ascii="Times New Roman" w:eastAsia="Times New Roman" w:hAnsi="Times New Roman" w:cs="Times New Roman"/>
                <w:b/>
              </w:rPr>
            </w:pPr>
            <w:r w:rsidRPr="00F00A71">
              <w:rPr>
                <w:rFonts w:ascii="Times New Roman" w:eastAsia="Times New Roman" w:hAnsi="Times New Roman" w:cs="Times New Roman"/>
                <w:b/>
              </w:rPr>
              <w:t>9.800.727.964</w:t>
            </w:r>
          </w:p>
        </w:tc>
      </w:tr>
      <w:tr w:rsidR="00461E9F" w:rsidRPr="00525200" w:rsidTr="00D76440">
        <w:trPr>
          <w:trHeight w:val="42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24. Thu nhập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Thanh lý tài sản cố định</w:t>
            </w:r>
          </w:p>
        </w:tc>
        <w:tc>
          <w:tcPr>
            <w:tcW w:w="1701" w:type="dxa"/>
            <w:tcBorders>
              <w:top w:val="nil"/>
              <w:left w:val="nil"/>
              <w:bottom w:val="nil"/>
              <w:right w:val="nil"/>
            </w:tcBorders>
            <w:shd w:val="clear" w:color="auto" w:fill="auto"/>
            <w:noWrap/>
            <w:vAlign w:val="bottom"/>
            <w:hideMark/>
          </w:tcPr>
          <w:p w:rsidR="00461E9F" w:rsidRPr="00525200" w:rsidRDefault="00F00A71" w:rsidP="00F00A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Thu nhập khác</w:t>
            </w:r>
          </w:p>
        </w:tc>
        <w:tc>
          <w:tcPr>
            <w:tcW w:w="1701" w:type="dxa"/>
            <w:tcBorders>
              <w:top w:val="nil"/>
              <w:left w:val="nil"/>
              <w:bottom w:val="nil"/>
              <w:right w:val="nil"/>
            </w:tcBorders>
            <w:shd w:val="clear" w:color="auto" w:fill="auto"/>
            <w:noWrap/>
            <w:vAlign w:val="bottom"/>
            <w:hideMark/>
          </w:tcPr>
          <w:p w:rsidR="00461E9F" w:rsidRPr="00525200" w:rsidRDefault="00F00A71" w:rsidP="009F036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557</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11.383.597</w:t>
            </w:r>
          </w:p>
        </w:tc>
      </w:tr>
      <w:tr w:rsidR="00146472" w:rsidRPr="00525200" w:rsidTr="00D76440">
        <w:trPr>
          <w:trHeight w:val="375"/>
        </w:trPr>
        <w:tc>
          <w:tcPr>
            <w:tcW w:w="5685"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46472" w:rsidRPr="00525200" w:rsidRDefault="00146472" w:rsidP="00F00A71">
            <w:pPr>
              <w:spacing w:after="0" w:line="240" w:lineRule="auto"/>
              <w:jc w:val="right"/>
              <w:rPr>
                <w:rFonts w:ascii="Times New Roman" w:eastAsia="Times New Roman" w:hAnsi="Times New Roman" w:cs="Times New Roman"/>
                <w:b/>
              </w:rPr>
            </w:pPr>
            <w:r w:rsidRPr="00525200">
              <w:rPr>
                <w:rFonts w:ascii="Times New Roman" w:eastAsia="Times New Roman" w:hAnsi="Times New Roman" w:cs="Times New Roman"/>
                <w:b/>
              </w:rPr>
              <w:t>250.000.</w:t>
            </w:r>
            <w:r w:rsidR="009F036D">
              <w:rPr>
                <w:rFonts w:ascii="Times New Roman" w:eastAsia="Times New Roman" w:hAnsi="Times New Roman" w:cs="Times New Roman"/>
                <w:b/>
              </w:rPr>
              <w:t>5</w:t>
            </w:r>
            <w:r w:rsidR="00F00A71">
              <w:rPr>
                <w:rFonts w:ascii="Times New Roman" w:eastAsia="Times New Roman" w:hAnsi="Times New Roman" w:cs="Times New Roman"/>
                <w:b/>
              </w:rPr>
              <w:t>57</w:t>
            </w:r>
          </w:p>
        </w:tc>
        <w:tc>
          <w:tcPr>
            <w:tcW w:w="523"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525200" w:rsidRDefault="00F00A71"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11.383.597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25. Chi phí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Chi phí khác</w:t>
            </w:r>
          </w:p>
        </w:tc>
        <w:tc>
          <w:tcPr>
            <w:tcW w:w="1701" w:type="dxa"/>
            <w:tcBorders>
              <w:top w:val="nil"/>
              <w:left w:val="nil"/>
              <w:bottom w:val="nil"/>
              <w:right w:val="nil"/>
            </w:tcBorders>
            <w:shd w:val="clear" w:color="auto" w:fill="auto"/>
            <w:noWrap/>
            <w:vAlign w:val="bottom"/>
            <w:hideMark/>
          </w:tcPr>
          <w:p w:rsidR="00461E9F" w:rsidRPr="00525200" w:rsidRDefault="00F00A71"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8.148.631.845</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F00A71" w:rsidP="009F036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287.527.279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Phạt hành chính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Khấu hao TSCĐ không dùng cho HĐSXKD</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Giá trị còn lại của TSCĐ thanh lý</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525200" w:rsidRDefault="00461E9F" w:rsidP="00461E9F">
            <w:pPr>
              <w:spacing w:after="0" w:line="240" w:lineRule="auto"/>
              <w:jc w:val="right"/>
              <w:rPr>
                <w:rFonts w:ascii="Times New Roman" w:eastAsia="Times New Roman" w:hAnsi="Times New Roman" w:cs="Times New Roman"/>
              </w:rPr>
            </w:pPr>
          </w:p>
        </w:tc>
      </w:tr>
      <w:tr w:rsidR="00146472" w:rsidRPr="00525200" w:rsidTr="00D76440">
        <w:trPr>
          <w:trHeight w:val="300"/>
        </w:trPr>
        <w:tc>
          <w:tcPr>
            <w:tcW w:w="5685"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46472" w:rsidRPr="00525200" w:rsidRDefault="00F00A71" w:rsidP="00811D93">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8.148.631.845</w:t>
            </w:r>
          </w:p>
        </w:tc>
        <w:tc>
          <w:tcPr>
            <w:tcW w:w="523"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525200" w:rsidRDefault="00F00A71"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287.527.279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01" w:type="dxa"/>
            <w:tcBorders>
              <w:top w:val="single" w:sz="4" w:space="0" w:color="auto"/>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r>
      <w:tr w:rsidR="00461E9F" w:rsidRPr="00525200" w:rsidTr="00D76440">
        <w:trPr>
          <w:trHeight w:val="37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26. Lãi cơ bản trên cổ phiếu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Lợi nhuận kế toán sau thuế thu nhập doanh nghiệp</w:t>
            </w:r>
          </w:p>
        </w:tc>
        <w:tc>
          <w:tcPr>
            <w:tcW w:w="1701" w:type="dxa"/>
            <w:tcBorders>
              <w:top w:val="nil"/>
              <w:left w:val="nil"/>
              <w:bottom w:val="nil"/>
              <w:right w:val="nil"/>
            </w:tcBorders>
            <w:shd w:val="clear" w:color="auto" w:fill="auto"/>
            <w:noWrap/>
            <w:vAlign w:val="bottom"/>
            <w:hideMark/>
          </w:tcPr>
          <w:p w:rsidR="00461E9F" w:rsidRPr="00525200" w:rsidRDefault="00476376"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37.571.731.264</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146472" w:rsidP="00F00A71">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w:t>
            </w:r>
            <w:r w:rsidR="00F00A71">
              <w:rPr>
                <w:rFonts w:ascii="Times New Roman" w:eastAsia="Times New Roman" w:hAnsi="Times New Roman" w:cs="Times New Roman"/>
              </w:rPr>
              <w:t>8.391.165.118</w:t>
            </w:r>
            <w:r w:rsidRPr="00525200">
              <w:rPr>
                <w:rFonts w:ascii="Times New Roman" w:eastAsia="Times New Roman" w:hAnsi="Times New Roman" w:cs="Times New Roman"/>
              </w:rPr>
              <w:t>)</w:t>
            </w:r>
          </w:p>
        </w:tc>
      </w:tr>
      <w:tr w:rsidR="00461E9F" w:rsidRPr="00525200" w:rsidTr="00D76440">
        <w:trPr>
          <w:trHeight w:val="780"/>
        </w:trPr>
        <w:tc>
          <w:tcPr>
            <w:tcW w:w="9689" w:type="dxa"/>
            <w:gridSpan w:val="4"/>
            <w:tcBorders>
              <w:top w:val="nil"/>
              <w:left w:val="nil"/>
              <w:bottom w:val="nil"/>
              <w:right w:val="nil"/>
            </w:tcBorders>
            <w:shd w:val="clear" w:color="auto" w:fill="auto"/>
            <w:vAlign w:val="center"/>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476376" w:rsidRPr="00525200" w:rsidTr="00D76440">
        <w:trPr>
          <w:trHeight w:val="300"/>
        </w:trPr>
        <w:tc>
          <w:tcPr>
            <w:tcW w:w="5685" w:type="dxa"/>
            <w:tcBorders>
              <w:top w:val="nil"/>
              <w:left w:val="nil"/>
              <w:bottom w:val="nil"/>
              <w:right w:val="nil"/>
            </w:tcBorders>
            <w:shd w:val="clear" w:color="auto" w:fill="auto"/>
            <w:noWrap/>
            <w:vAlign w:val="bottom"/>
            <w:hideMark/>
          </w:tcPr>
          <w:p w:rsidR="00476376" w:rsidRPr="00525200" w:rsidRDefault="00476376"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Lợi nhuận hoặc lỗ phân bổ cho cổ đông sở hữu cổ phiếu phổ thông</w:t>
            </w:r>
          </w:p>
        </w:tc>
        <w:tc>
          <w:tcPr>
            <w:tcW w:w="1701" w:type="dxa"/>
            <w:tcBorders>
              <w:top w:val="nil"/>
              <w:left w:val="nil"/>
              <w:bottom w:val="nil"/>
              <w:right w:val="nil"/>
            </w:tcBorders>
            <w:shd w:val="clear" w:color="auto" w:fill="auto"/>
            <w:noWrap/>
            <w:vAlign w:val="bottom"/>
            <w:hideMark/>
          </w:tcPr>
          <w:p w:rsidR="00476376" w:rsidRPr="00525200" w:rsidRDefault="00476376" w:rsidP="0069554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37.571.731.264</w:t>
            </w:r>
          </w:p>
        </w:tc>
        <w:tc>
          <w:tcPr>
            <w:tcW w:w="523" w:type="dxa"/>
            <w:tcBorders>
              <w:top w:val="nil"/>
              <w:left w:val="nil"/>
              <w:bottom w:val="nil"/>
              <w:right w:val="nil"/>
            </w:tcBorders>
            <w:shd w:val="clear" w:color="auto" w:fill="auto"/>
            <w:noWrap/>
            <w:vAlign w:val="bottom"/>
            <w:hideMark/>
          </w:tcPr>
          <w:p w:rsidR="00476376" w:rsidRPr="00525200" w:rsidRDefault="00476376" w:rsidP="00695545">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76376" w:rsidRPr="00525200" w:rsidRDefault="00476376" w:rsidP="00695545">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w:t>
            </w:r>
            <w:r>
              <w:rPr>
                <w:rFonts w:ascii="Times New Roman" w:eastAsia="Times New Roman" w:hAnsi="Times New Roman" w:cs="Times New Roman"/>
              </w:rPr>
              <w:t>8.391.165.118</w:t>
            </w:r>
            <w:r w:rsidRPr="00525200">
              <w:rPr>
                <w:rFonts w:ascii="Times New Roman" w:eastAsia="Times New Roman" w:hAnsi="Times New Roman" w:cs="Times New Roman"/>
              </w:rPr>
              <w:t>)</w:t>
            </w:r>
          </w:p>
        </w:tc>
      </w:tr>
      <w:tr w:rsidR="00461E9F" w:rsidRPr="00525200" w:rsidTr="00D76440">
        <w:trPr>
          <w:trHeight w:val="300"/>
        </w:trPr>
        <w:tc>
          <w:tcPr>
            <w:tcW w:w="5685" w:type="dxa"/>
            <w:tcBorders>
              <w:top w:val="nil"/>
              <w:left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phổ thông đang lưu hành bình quân</w:t>
            </w:r>
          </w:p>
        </w:tc>
        <w:tc>
          <w:tcPr>
            <w:tcW w:w="1701" w:type="dxa"/>
            <w:tcBorders>
              <w:top w:val="nil"/>
              <w:left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r>
      <w:tr w:rsidR="00461E9F" w:rsidRPr="00525200" w:rsidTr="00D76440">
        <w:trPr>
          <w:trHeight w:val="300"/>
        </w:trPr>
        <w:tc>
          <w:tcPr>
            <w:tcW w:w="5685" w:type="dxa"/>
            <w:shd w:val="clear" w:color="auto" w:fill="auto"/>
            <w:noWrap/>
            <w:vAlign w:val="bottom"/>
            <w:hideMark/>
          </w:tcPr>
          <w:p w:rsidR="00461E9F" w:rsidRPr="00525200" w:rsidRDefault="00143F70"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rPr>
              <w:t>- Lãi cơ bản trên cổ phiếu</w:t>
            </w:r>
          </w:p>
        </w:tc>
        <w:tc>
          <w:tcPr>
            <w:tcW w:w="1701" w:type="dxa"/>
            <w:shd w:val="clear" w:color="auto" w:fill="auto"/>
            <w:noWrap/>
            <w:vAlign w:val="bottom"/>
            <w:hideMark/>
          </w:tcPr>
          <w:p w:rsidR="00461E9F" w:rsidRPr="00525200" w:rsidRDefault="00F00A71" w:rsidP="00476376">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4.</w:t>
            </w:r>
            <w:r w:rsidR="00476376">
              <w:rPr>
                <w:rFonts w:ascii="Times New Roman" w:eastAsia="Times New Roman" w:hAnsi="Times New Roman" w:cs="Times New Roman"/>
                <w:b/>
                <w:bCs/>
                <w:u w:val="single"/>
              </w:rPr>
              <w:t>175</w:t>
            </w:r>
          </w:p>
        </w:tc>
        <w:tc>
          <w:tcPr>
            <w:tcW w:w="523" w:type="dxa"/>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461E9F" w:rsidRPr="00525200" w:rsidRDefault="009F036D" w:rsidP="00F00A71">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w:t>
            </w:r>
            <w:r w:rsidR="00F00A71">
              <w:rPr>
                <w:rFonts w:ascii="Times New Roman" w:eastAsia="Times New Roman" w:hAnsi="Times New Roman" w:cs="Times New Roman"/>
                <w:b/>
                <w:bCs/>
                <w:u w:val="single"/>
              </w:rPr>
              <w:t>932</w:t>
            </w:r>
            <w:r>
              <w:rPr>
                <w:rFonts w:ascii="Times New Roman" w:eastAsia="Times New Roman" w:hAnsi="Times New Roman" w:cs="Times New Roman"/>
                <w:b/>
                <w:bCs/>
                <w:u w:val="single"/>
              </w:rPr>
              <w:t>)</w:t>
            </w:r>
          </w:p>
        </w:tc>
      </w:tr>
    </w:tbl>
    <w:p w:rsidR="00461E9F" w:rsidRPr="00525200" w:rsidRDefault="00461E9F">
      <w:pPr>
        <w:rPr>
          <w:rFonts w:ascii="Times New Roman" w:hAnsi="Times New Roman" w:cs="Times New Roman"/>
        </w:rPr>
      </w:pPr>
    </w:p>
    <w:p w:rsidR="00E55AA5" w:rsidRPr="00525200" w:rsidRDefault="00E55AA5">
      <w:pPr>
        <w:rPr>
          <w:rFonts w:ascii="Times New Roman" w:hAnsi="Times New Roman" w:cs="Times New Roman"/>
        </w:rPr>
      </w:pPr>
    </w:p>
    <w:p w:rsidR="00304D25" w:rsidRPr="00525200" w:rsidRDefault="00304D25">
      <w:pPr>
        <w:rPr>
          <w:rFonts w:ascii="Times New Roman" w:hAnsi="Times New Roman" w:cs="Times New Roman"/>
        </w:rPr>
      </w:pPr>
    </w:p>
    <w:tbl>
      <w:tblPr>
        <w:tblW w:w="9796" w:type="dxa"/>
        <w:tblInd w:w="93" w:type="dxa"/>
        <w:tblLook w:val="04A0" w:firstRow="1" w:lastRow="0" w:firstColumn="1" w:lastColumn="0" w:noHBand="0" w:noVBand="1"/>
      </w:tblPr>
      <w:tblGrid>
        <w:gridCol w:w="640"/>
        <w:gridCol w:w="5612"/>
        <w:gridCol w:w="1880"/>
        <w:gridCol w:w="1664"/>
      </w:tblGrid>
      <w:tr w:rsidR="00D546F8" w:rsidRPr="00BF744E"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r w:rsidRPr="00BF744E">
              <w:rPr>
                <w:rFonts w:ascii="Times New Roman" w:eastAsia="Times New Roman" w:hAnsi="Times New Roman" w:cs="Times New Roman"/>
                <w:b/>
                <w:bCs/>
              </w:rPr>
              <w:lastRenderedPageBreak/>
              <w:t>Phụ lục số 01: Phải thu của khách hàng</w:t>
            </w:r>
          </w:p>
        </w:tc>
        <w:tc>
          <w:tcPr>
            <w:tcW w:w="188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p>
        </w:tc>
      </w:tr>
      <w:tr w:rsidR="00D546F8" w:rsidRPr="00BF744E" w:rsidTr="00D546F8">
        <w:trPr>
          <w:trHeight w:val="300"/>
        </w:trPr>
        <w:tc>
          <w:tcPr>
            <w:tcW w:w="64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r>
      <w:tr w:rsidR="00D546F8" w:rsidRPr="00BF744E" w:rsidTr="00BF744E">
        <w:trPr>
          <w:trHeight w:val="29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cuối năm</w:t>
            </w:r>
          </w:p>
        </w:tc>
      </w:tr>
      <w:tr w:rsidR="00D546F8" w:rsidRPr="00BF744E" w:rsidTr="00BF744E">
        <w:trPr>
          <w:trHeight w:val="284"/>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BF744E"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BF744E"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cuối năm</w:t>
            </w:r>
          </w:p>
        </w:tc>
      </w:tr>
      <w:tr w:rsidR="00BF744E" w:rsidRPr="00BF744E" w:rsidTr="00BF744E">
        <w:trPr>
          <w:trHeight w:val="44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TNHH XD Thắng Lợi Đông Triều</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248.684.997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982536">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r w:rsidR="00982536">
              <w:rPr>
                <w:rFonts w:ascii="Times New Roman" w:eastAsia="Times New Roman" w:hAnsi="Times New Roman" w:cs="Times New Roman"/>
              </w:rPr>
              <w:t>469.331.637</w:t>
            </w:r>
            <w:r w:rsidRPr="00BF744E">
              <w:rPr>
                <w:rFonts w:ascii="Times New Roman" w:eastAsia="Times New Roman" w:hAnsi="Times New Roman" w:cs="Times New Roman"/>
              </w:rPr>
              <w:t xml:space="preserve"> </w:t>
            </w:r>
          </w:p>
        </w:tc>
      </w:tr>
      <w:tr w:rsidR="00BF744E" w:rsidRPr="00BF744E" w:rsidTr="00BF744E">
        <w:trPr>
          <w:trHeight w:val="41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CTy CP Thương mại &amp; Dịch vụ Tiến Linh</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36.145.650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982536">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r w:rsidR="00982536">
              <w:rPr>
                <w:rFonts w:ascii="Times New Roman" w:eastAsia="Times New Roman" w:hAnsi="Times New Roman" w:cs="Times New Roman"/>
              </w:rPr>
              <w:t>387831600</w:t>
            </w:r>
            <w:r w:rsidRPr="00BF744E">
              <w:rPr>
                <w:rFonts w:ascii="Times New Roman" w:eastAsia="Times New Roman" w:hAnsi="Times New Roman" w:cs="Times New Roman"/>
              </w:rPr>
              <w:t xml:space="preserve"> </w:t>
            </w:r>
          </w:p>
        </w:tc>
      </w:tr>
      <w:tr w:rsidR="00982536" w:rsidRPr="00BF744E" w:rsidTr="0098253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cổ phần Vạn Thiên An</w:t>
            </w:r>
          </w:p>
        </w:tc>
        <w:tc>
          <w:tcPr>
            <w:tcW w:w="1880"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3.918.653.007 </w:t>
            </w: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2.527.053.927 </w:t>
            </w:r>
          </w:p>
        </w:tc>
      </w:tr>
      <w:tr w:rsidR="00982536" w:rsidRPr="00BF744E" w:rsidTr="0098253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rPr>
                <w:rFonts w:ascii="Times New Roman" w:eastAsia="Times New Roman" w:hAnsi="Times New Roman" w:cs="Times New Roman"/>
              </w:rPr>
            </w:pPr>
            <w:r>
              <w:rPr>
                <w:rFonts w:ascii="Times New Roman" w:eastAsia="Times New Roman" w:hAnsi="Times New Roman" w:cs="Times New Roman"/>
              </w:rPr>
              <w:t>Công ty cổ phần Xây dựng 47</w:t>
            </w:r>
          </w:p>
        </w:tc>
        <w:tc>
          <w:tcPr>
            <w:tcW w:w="1880"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537.792.750</w:t>
            </w:r>
          </w:p>
        </w:tc>
      </w:tr>
      <w:tr w:rsidR="00982536" w:rsidRPr="00BF744E" w:rsidTr="0098253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CP XD và TM Kim Nguyên</w:t>
            </w:r>
          </w:p>
        </w:tc>
        <w:tc>
          <w:tcPr>
            <w:tcW w:w="1880"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645.644.828 </w:t>
            </w: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816.237.777 </w:t>
            </w:r>
          </w:p>
        </w:tc>
      </w:tr>
      <w:tr w:rsidR="00982536" w:rsidRPr="00BF744E" w:rsidTr="00BF744E">
        <w:trPr>
          <w:trHeight w:val="23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695545">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cổ phần Sông Đà 5</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4.089.207.662 </w:t>
            </w: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5.602.297.015</w:t>
            </w:r>
            <w:r w:rsidRPr="00BF744E">
              <w:rPr>
                <w:rFonts w:ascii="Times New Roman" w:eastAsia="Times New Roman" w:hAnsi="Times New Roman" w:cs="Times New Roman"/>
              </w:rPr>
              <w:t xml:space="preserve"> </w:t>
            </w:r>
          </w:p>
        </w:tc>
      </w:tr>
      <w:tr w:rsidR="00982536" w:rsidRPr="00BF744E" w:rsidTr="0098253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F744E">
              <w:rPr>
                <w:rFonts w:ascii="Times New Roman" w:eastAsia="Times New Roman" w:hAnsi="Times New Roman" w:cs="Times New Roman"/>
              </w:rPr>
              <w:t>Công ty CP đầu tư và thương mại dầu khí Sông Đà</w:t>
            </w:r>
          </w:p>
        </w:tc>
        <w:tc>
          <w:tcPr>
            <w:tcW w:w="1880"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49.392.127.930</w:t>
            </w:r>
            <w:r w:rsidRPr="00BF744E">
              <w:rPr>
                <w:rFonts w:ascii="Times New Roman" w:eastAsia="Times New Roman" w:hAnsi="Times New Roman" w:cs="Times New Roman"/>
              </w:rPr>
              <w:t xml:space="preserve"> </w:t>
            </w:r>
          </w:p>
        </w:tc>
      </w:tr>
      <w:tr w:rsidR="00982536" w:rsidRPr="00BF744E" w:rsidTr="00695545">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center"/>
            <w:hideMark/>
          </w:tcPr>
          <w:p w:rsidR="00982536" w:rsidRPr="00BF744E" w:rsidRDefault="00982536" w:rsidP="00695545">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CP Sông Đà 12</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695545">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 xml:space="preserve">            </w:t>
            </w:r>
          </w:p>
          <w:p w:rsidR="00982536" w:rsidRPr="00BF744E" w:rsidRDefault="00982536" w:rsidP="00695545">
            <w:pPr>
              <w:spacing w:after="0" w:line="240" w:lineRule="auto"/>
              <w:jc w:val="cente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21.826.593.509</w:t>
            </w:r>
            <w:r w:rsidRPr="00BF744E">
              <w:rPr>
                <w:rFonts w:ascii="Times New Roman" w:eastAsia="Times New Roman" w:hAnsi="Times New Roman" w:cs="Times New Roman"/>
              </w:rPr>
              <w:t xml:space="preserve"> </w:t>
            </w:r>
          </w:p>
          <w:p w:rsidR="00982536" w:rsidRPr="00BF744E" w:rsidRDefault="00982536" w:rsidP="00695545">
            <w:pPr>
              <w:spacing w:after="0" w:line="240" w:lineRule="auto"/>
              <w:jc w:val="center"/>
              <w:rPr>
                <w:rFonts w:ascii="Times New Roman" w:eastAsia="Times New Roman" w:hAnsi="Times New Roman" w:cs="Times New Roman"/>
              </w:rPr>
            </w:pPr>
          </w:p>
        </w:tc>
      </w:tr>
      <w:tr w:rsidR="00982536" w:rsidRPr="00BF744E" w:rsidTr="00695545">
        <w:trPr>
          <w:trHeight w:val="376"/>
        </w:trPr>
        <w:tc>
          <w:tcPr>
            <w:tcW w:w="640" w:type="dxa"/>
            <w:tcBorders>
              <w:top w:val="nil"/>
              <w:left w:val="single" w:sz="4" w:space="0" w:color="auto"/>
              <w:bottom w:val="single" w:sz="4" w:space="0" w:color="auto"/>
              <w:right w:val="single" w:sz="4" w:space="0" w:color="auto"/>
            </w:tcBorders>
            <w:shd w:val="clear" w:color="auto" w:fill="auto"/>
            <w:noWrap/>
            <w:vAlign w:val="bottom"/>
          </w:tcPr>
          <w:p w:rsidR="00982536" w:rsidRPr="00BF744E" w:rsidRDefault="00982536"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9</w:t>
            </w:r>
          </w:p>
          <w:p w:rsidR="00982536" w:rsidRPr="00BF744E" w:rsidRDefault="00982536" w:rsidP="00BF744E">
            <w:pPr>
              <w:spacing w:after="0" w:line="240" w:lineRule="auto"/>
              <w:jc w:val="center"/>
              <w:rPr>
                <w:rFonts w:ascii="Times New Roman" w:eastAsia="Times New Roman" w:hAnsi="Times New Roman" w:cs="Times New Roman"/>
              </w:rPr>
            </w:pPr>
          </w:p>
        </w:tc>
        <w:tc>
          <w:tcPr>
            <w:tcW w:w="5612" w:type="dxa"/>
            <w:tcBorders>
              <w:top w:val="nil"/>
              <w:left w:val="nil"/>
              <w:bottom w:val="single" w:sz="4" w:space="0" w:color="auto"/>
              <w:right w:val="single" w:sz="4" w:space="0" w:color="auto"/>
            </w:tcBorders>
            <w:shd w:val="clear" w:color="auto" w:fill="auto"/>
            <w:noWrap/>
            <w:vAlign w:val="center"/>
          </w:tcPr>
          <w:p w:rsidR="00982536" w:rsidRPr="00BF744E" w:rsidRDefault="00982536" w:rsidP="006955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Các khách hàng khác</w:t>
            </w:r>
          </w:p>
        </w:tc>
        <w:tc>
          <w:tcPr>
            <w:tcW w:w="1880" w:type="dxa"/>
            <w:tcBorders>
              <w:top w:val="nil"/>
              <w:left w:val="nil"/>
              <w:bottom w:val="single" w:sz="4" w:space="0" w:color="auto"/>
              <w:right w:val="single" w:sz="4" w:space="0" w:color="auto"/>
            </w:tcBorders>
            <w:shd w:val="clear" w:color="auto" w:fill="auto"/>
            <w:noWrap/>
            <w:vAlign w:val="bottom"/>
          </w:tcPr>
          <w:p w:rsidR="00982536" w:rsidRPr="00BF744E" w:rsidRDefault="00982536" w:rsidP="006955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2.957.535.931</w:t>
            </w:r>
          </w:p>
        </w:tc>
        <w:tc>
          <w:tcPr>
            <w:tcW w:w="1664" w:type="dxa"/>
            <w:tcBorders>
              <w:top w:val="nil"/>
              <w:left w:val="nil"/>
              <w:bottom w:val="single" w:sz="4" w:space="0" w:color="auto"/>
              <w:right w:val="single" w:sz="4" w:space="0" w:color="auto"/>
            </w:tcBorders>
            <w:shd w:val="clear" w:color="auto" w:fill="auto"/>
            <w:noWrap/>
            <w:vAlign w:val="bottom"/>
          </w:tcPr>
          <w:p w:rsidR="00982536" w:rsidRPr="00BF744E" w:rsidRDefault="00982536" w:rsidP="009032F9">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1.</w:t>
            </w:r>
            <w:r w:rsidR="009032F9">
              <w:rPr>
                <w:rFonts w:ascii="Times New Roman" w:eastAsia="Times New Roman" w:hAnsi="Times New Roman" w:cs="Times New Roman"/>
              </w:rPr>
              <w:t>818.360.343</w:t>
            </w:r>
            <w:r w:rsidRPr="00BF744E">
              <w:rPr>
                <w:rFonts w:ascii="Times New Roman" w:eastAsia="Times New Roman" w:hAnsi="Times New Roman" w:cs="Times New Roman"/>
              </w:rPr>
              <w:t xml:space="preserve"> </w:t>
            </w:r>
          </w:p>
        </w:tc>
      </w:tr>
      <w:tr w:rsidR="00982536" w:rsidRPr="00BF744E" w:rsidTr="00BF744E">
        <w:trPr>
          <w:trHeight w:val="28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center"/>
              <w:rPr>
                <w:rFonts w:ascii="Times New Roman" w:eastAsia="Times New Roman" w:hAnsi="Times New Roman" w:cs="Times New Roman"/>
                <w:b/>
                <w:bCs/>
              </w:rPr>
            </w:pPr>
          </w:p>
        </w:tc>
        <w:tc>
          <w:tcPr>
            <w:tcW w:w="5612"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BF744E">
            <w:pPr>
              <w:spacing w:after="0" w:line="240" w:lineRule="auto"/>
              <w:jc w:val="right"/>
              <w:rPr>
                <w:rFonts w:ascii="Times New Roman" w:eastAsia="Times New Roman" w:hAnsi="Times New Roman" w:cs="Times New Roman"/>
                <w:b/>
                <w:bCs/>
              </w:rPr>
            </w:pPr>
            <w:r w:rsidRPr="00BF744E">
              <w:rPr>
                <w:rFonts w:ascii="Times New Roman" w:eastAsia="Times New Roman" w:hAnsi="Times New Roman" w:cs="Times New Roman"/>
                <w:b/>
                <w:bCs/>
              </w:rPr>
              <w:t>11</w:t>
            </w:r>
            <w:r>
              <w:rPr>
                <w:rFonts w:ascii="Times New Roman" w:eastAsia="Times New Roman" w:hAnsi="Times New Roman" w:cs="Times New Roman"/>
                <w:b/>
                <w:bCs/>
              </w:rPr>
              <w:t>.</w:t>
            </w:r>
            <w:r w:rsidRPr="00BF744E">
              <w:rPr>
                <w:rFonts w:ascii="Times New Roman" w:eastAsia="Times New Roman" w:hAnsi="Times New Roman" w:cs="Times New Roman"/>
                <w:b/>
                <w:bCs/>
              </w:rPr>
              <w:t>895</w:t>
            </w:r>
            <w:r>
              <w:rPr>
                <w:rFonts w:ascii="Times New Roman" w:eastAsia="Times New Roman" w:hAnsi="Times New Roman" w:cs="Times New Roman"/>
                <w:b/>
                <w:bCs/>
              </w:rPr>
              <w:t>.</w:t>
            </w:r>
            <w:r w:rsidRPr="00BF744E">
              <w:rPr>
                <w:rFonts w:ascii="Times New Roman" w:eastAsia="Times New Roman" w:hAnsi="Times New Roman" w:cs="Times New Roman"/>
                <w:b/>
                <w:bCs/>
              </w:rPr>
              <w:t>872</w:t>
            </w:r>
            <w:r>
              <w:rPr>
                <w:rFonts w:ascii="Times New Roman" w:eastAsia="Times New Roman" w:hAnsi="Times New Roman" w:cs="Times New Roman"/>
                <w:b/>
                <w:bCs/>
              </w:rPr>
              <w:t>.</w:t>
            </w:r>
            <w:r w:rsidRPr="00BF744E">
              <w:rPr>
                <w:rFonts w:ascii="Times New Roman" w:eastAsia="Times New Roman" w:hAnsi="Times New Roman" w:cs="Times New Roman"/>
                <w:b/>
                <w:bCs/>
              </w:rPr>
              <w:t>075</w:t>
            </w:r>
          </w:p>
        </w:tc>
        <w:tc>
          <w:tcPr>
            <w:tcW w:w="1664" w:type="dxa"/>
            <w:tcBorders>
              <w:top w:val="nil"/>
              <w:left w:val="nil"/>
              <w:bottom w:val="single" w:sz="4" w:space="0" w:color="auto"/>
              <w:right w:val="single" w:sz="4" w:space="0" w:color="auto"/>
            </w:tcBorders>
            <w:shd w:val="clear" w:color="auto" w:fill="auto"/>
            <w:noWrap/>
            <w:vAlign w:val="bottom"/>
            <w:hideMark/>
          </w:tcPr>
          <w:p w:rsidR="00982536" w:rsidRPr="00BF744E" w:rsidRDefault="00982536" w:rsidP="003526B6">
            <w:pPr>
              <w:spacing w:after="0" w:line="240" w:lineRule="auto"/>
              <w:jc w:val="right"/>
              <w:rPr>
                <w:rFonts w:ascii="Times New Roman" w:eastAsia="Times New Roman" w:hAnsi="Times New Roman" w:cs="Times New Roman"/>
                <w:b/>
                <w:bCs/>
              </w:rPr>
            </w:pPr>
            <w:r w:rsidRPr="00BF744E">
              <w:rPr>
                <w:rFonts w:ascii="Times New Roman" w:eastAsia="Times New Roman" w:hAnsi="Times New Roman" w:cs="Times New Roman"/>
                <w:b/>
                <w:bCs/>
              </w:rPr>
              <w:t xml:space="preserve">            </w:t>
            </w:r>
            <w:r w:rsidR="003526B6">
              <w:rPr>
                <w:rFonts w:ascii="Times New Roman" w:eastAsia="Times New Roman" w:hAnsi="Times New Roman" w:cs="Times New Roman"/>
                <w:b/>
                <w:bCs/>
              </w:rPr>
              <w:t>83.377.626.488</w:t>
            </w:r>
          </w:p>
        </w:tc>
      </w:tr>
      <w:tr w:rsidR="00982536" w:rsidRPr="00525200" w:rsidTr="00D546F8">
        <w:trPr>
          <w:trHeight w:val="285"/>
        </w:trPr>
        <w:tc>
          <w:tcPr>
            <w:tcW w:w="6252" w:type="dxa"/>
            <w:gridSpan w:val="2"/>
            <w:tcBorders>
              <w:top w:val="nil"/>
              <w:left w:val="nil"/>
              <w:bottom w:val="nil"/>
              <w:right w:val="nil"/>
            </w:tcBorders>
            <w:shd w:val="clear" w:color="auto" w:fill="auto"/>
            <w:noWrap/>
            <w:vAlign w:val="bottom"/>
            <w:hideMark/>
          </w:tcPr>
          <w:p w:rsidR="00982536" w:rsidRDefault="00982536" w:rsidP="00D546F8">
            <w:pPr>
              <w:spacing w:after="0" w:line="240" w:lineRule="auto"/>
              <w:rPr>
                <w:rFonts w:ascii="Times New Roman" w:eastAsia="Times New Roman" w:hAnsi="Times New Roman" w:cs="Times New Roman"/>
                <w:b/>
                <w:bCs/>
              </w:rPr>
            </w:pPr>
          </w:p>
          <w:p w:rsidR="00982536" w:rsidRPr="00525200" w:rsidRDefault="00982536" w:rsidP="00D546F8">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b/>
                <w:bCs/>
              </w:rPr>
            </w:pPr>
          </w:p>
        </w:tc>
      </w:tr>
      <w:tr w:rsidR="00982536" w:rsidRPr="00525200" w:rsidTr="00D546F8">
        <w:trPr>
          <w:trHeight w:val="300"/>
        </w:trPr>
        <w:tc>
          <w:tcPr>
            <w:tcW w:w="640"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p>
        </w:tc>
      </w:tr>
      <w:tr w:rsidR="00982536" w:rsidRPr="00525200" w:rsidTr="00D9284C">
        <w:trPr>
          <w:trHeight w:val="303"/>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cuối năm</w:t>
            </w:r>
          </w:p>
        </w:tc>
      </w:tr>
      <w:tr w:rsidR="00982536" w:rsidRPr="00525200"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982536" w:rsidRPr="00525200" w:rsidRDefault="00982536"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982536" w:rsidRPr="00525200" w:rsidRDefault="00982536"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cuối năm</w:t>
            </w:r>
          </w:p>
        </w:tc>
      </w:tr>
      <w:tr w:rsidR="00982536"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B95744">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B95744">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10.669.429.600 </w:t>
            </w:r>
          </w:p>
        </w:tc>
      </w:tr>
      <w:tr w:rsidR="00982536"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C605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242.479.780</w:t>
            </w:r>
            <w:r w:rsidRPr="00525200">
              <w:rPr>
                <w:rFonts w:ascii="Times New Roman" w:eastAsia="Times New Roman" w:hAnsi="Times New Roman" w:cs="Times New Roman"/>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982536" w:rsidRPr="00525200" w:rsidRDefault="003526B6" w:rsidP="00B9574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7.438.162</w:t>
            </w:r>
          </w:p>
        </w:tc>
      </w:tr>
      <w:tr w:rsidR="00982536"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982536" w:rsidRPr="00525200" w:rsidRDefault="00982536" w:rsidP="00D546F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10.911.909.380</w:t>
            </w:r>
            <w:r w:rsidRPr="00525200">
              <w:rPr>
                <w:rFonts w:ascii="Times New Roman" w:eastAsia="Times New Roman" w:hAnsi="Times New Roman" w:cs="Times New Roman"/>
                <w:b/>
                <w:bC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982536" w:rsidRPr="00525200" w:rsidRDefault="003526B6" w:rsidP="00C605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10.676.867.762</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525200" w:rsidTr="00D546F8">
        <w:trPr>
          <w:trHeight w:val="2232"/>
          <w:jc w:val="center"/>
        </w:trPr>
        <w:tc>
          <w:tcPr>
            <w:tcW w:w="3325"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325"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B20333" w:rsidRPr="00525200" w:rsidRDefault="00B20333" w:rsidP="00D546F8">
            <w:pPr>
              <w:jc w:val="center"/>
              <w:rPr>
                <w:rFonts w:ascii="Times New Roman" w:eastAsia="Times New Roman" w:hAnsi="Times New Roman" w:cs="Times New Roman"/>
                <w:b/>
                <w:bCs/>
              </w:rPr>
            </w:pPr>
          </w:p>
        </w:tc>
        <w:tc>
          <w:tcPr>
            <w:tcW w:w="3326"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B20333" w:rsidRPr="00525200" w:rsidRDefault="00B20333" w:rsidP="00D546F8">
            <w:pPr>
              <w:jc w:val="center"/>
              <w:rPr>
                <w:rFonts w:ascii="Times New Roman" w:eastAsia="Times New Roman" w:hAnsi="Times New Roman" w:cs="Times New Roman"/>
                <w:b/>
                <w:bCs/>
              </w:rPr>
            </w:pPr>
          </w:p>
        </w:tc>
      </w:tr>
      <w:tr w:rsidR="00143F70" w:rsidRPr="00525200" w:rsidTr="00D546F8">
        <w:trPr>
          <w:jc w:val="center"/>
        </w:trPr>
        <w:tc>
          <w:tcPr>
            <w:tcW w:w="3325"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325"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326"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143F70" w:rsidRPr="00525200" w:rsidRDefault="00143F70">
      <w:pPr>
        <w:rPr>
          <w:rFonts w:ascii="Times New Roman" w:hAnsi="Times New Roman" w:cs="Times New Roman"/>
        </w:rPr>
      </w:pPr>
    </w:p>
    <w:sectPr w:rsidR="00143F70" w:rsidRPr="00525200" w:rsidSect="00054447">
      <w:headerReference w:type="default" r:id="rId11"/>
      <w:footerReference w:type="default" r:id="rId12"/>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FD" w:rsidRDefault="007D57FD" w:rsidP="00032898">
      <w:pPr>
        <w:spacing w:after="0" w:line="240" w:lineRule="auto"/>
      </w:pPr>
      <w:r>
        <w:separator/>
      </w:r>
    </w:p>
  </w:endnote>
  <w:endnote w:type="continuationSeparator" w:id="0">
    <w:p w:rsidR="007D57FD" w:rsidRDefault="007D57FD"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0604020202090204"/>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0D004E" w:rsidRDefault="000D004E">
        <w:pPr>
          <w:pStyle w:val="Footer"/>
          <w:jc w:val="center"/>
        </w:pPr>
        <w:r>
          <w:fldChar w:fldCharType="begin"/>
        </w:r>
        <w:r>
          <w:instrText xml:space="preserve"> PAGE   \* MERGEFORMAT </w:instrText>
        </w:r>
        <w:r>
          <w:fldChar w:fldCharType="separate"/>
        </w:r>
        <w:r w:rsidR="00D67691">
          <w:rPr>
            <w:noProof/>
          </w:rPr>
          <w:t>4</w:t>
        </w:r>
        <w:r>
          <w:rPr>
            <w:noProof/>
          </w:rPr>
          <w:fldChar w:fldCharType="end"/>
        </w:r>
      </w:p>
    </w:sdtContent>
  </w:sdt>
  <w:p w:rsidR="000D004E" w:rsidRDefault="000D0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FD" w:rsidRDefault="007D57FD" w:rsidP="00032898">
      <w:pPr>
        <w:spacing w:after="0" w:line="240" w:lineRule="auto"/>
      </w:pPr>
      <w:r>
        <w:separator/>
      </w:r>
    </w:p>
  </w:footnote>
  <w:footnote w:type="continuationSeparator" w:id="0">
    <w:p w:rsidR="007D57FD" w:rsidRDefault="007D57FD"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4E" w:rsidRPr="00FF3C4C" w:rsidRDefault="000D004E">
    <w:pPr>
      <w:pStyle w:val="Header"/>
    </w:pPr>
    <w:r w:rsidRPr="00FF3C4C">
      <w:t>CÔNG TY CP SÔNG ĐÀ CAO CƯỜNG                                                BÁO CÁO TÀI CHÍNH</w:t>
    </w:r>
  </w:p>
  <w:p w:rsidR="000D004E" w:rsidRPr="00FF3C4C" w:rsidRDefault="000D004E">
    <w:pPr>
      <w:pStyle w:val="Header"/>
      <w:rPr>
        <w:u w:val="single"/>
      </w:rPr>
    </w:pPr>
    <w:r w:rsidRPr="00FF3C4C">
      <w:rPr>
        <w:u w:val="single"/>
      </w:rPr>
      <w:t xml:space="preserve">Km28+500m, QL18, Phả Lại, Chí Linh, Hải Dương                                             Quý </w:t>
    </w:r>
    <w:r>
      <w:rPr>
        <w:u w:val="single"/>
      </w:rPr>
      <w:t>4</w:t>
    </w:r>
    <w:r w:rsidRPr="00FF3C4C">
      <w:rPr>
        <w:u w:val="single"/>
      </w:rPr>
      <w:t xml:space="preserve"> năm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26E03"/>
    <w:rsid w:val="00032898"/>
    <w:rsid w:val="00054447"/>
    <w:rsid w:val="00093B8A"/>
    <w:rsid w:val="000C3A2B"/>
    <w:rsid w:val="000D004E"/>
    <w:rsid w:val="001064A6"/>
    <w:rsid w:val="001360B3"/>
    <w:rsid w:val="00143F70"/>
    <w:rsid w:val="00146472"/>
    <w:rsid w:val="00173C90"/>
    <w:rsid w:val="00180568"/>
    <w:rsid w:val="00180703"/>
    <w:rsid w:val="001C70AB"/>
    <w:rsid w:val="00225D85"/>
    <w:rsid w:val="00235165"/>
    <w:rsid w:val="002657C0"/>
    <w:rsid w:val="0027175B"/>
    <w:rsid w:val="002E04E2"/>
    <w:rsid w:val="00304D25"/>
    <w:rsid w:val="003526B6"/>
    <w:rsid w:val="00395352"/>
    <w:rsid w:val="00396BD7"/>
    <w:rsid w:val="003C5605"/>
    <w:rsid w:val="003D481C"/>
    <w:rsid w:val="003D4A7F"/>
    <w:rsid w:val="003E75BF"/>
    <w:rsid w:val="00415A75"/>
    <w:rsid w:val="004537F1"/>
    <w:rsid w:val="00461E9F"/>
    <w:rsid w:val="00476376"/>
    <w:rsid w:val="004A39B7"/>
    <w:rsid w:val="00514AC0"/>
    <w:rsid w:val="00522C84"/>
    <w:rsid w:val="00523FC2"/>
    <w:rsid w:val="00525200"/>
    <w:rsid w:val="00530A0B"/>
    <w:rsid w:val="00530B08"/>
    <w:rsid w:val="005B209F"/>
    <w:rsid w:val="005E427C"/>
    <w:rsid w:val="005F4B13"/>
    <w:rsid w:val="00602342"/>
    <w:rsid w:val="00636395"/>
    <w:rsid w:val="00695545"/>
    <w:rsid w:val="006C2B97"/>
    <w:rsid w:val="006F3344"/>
    <w:rsid w:val="0070250D"/>
    <w:rsid w:val="00782338"/>
    <w:rsid w:val="007C4C30"/>
    <w:rsid w:val="007D57FD"/>
    <w:rsid w:val="00811D93"/>
    <w:rsid w:val="00854414"/>
    <w:rsid w:val="0086501B"/>
    <w:rsid w:val="008665B1"/>
    <w:rsid w:val="008856D6"/>
    <w:rsid w:val="008B5C33"/>
    <w:rsid w:val="008C4809"/>
    <w:rsid w:val="008D60CB"/>
    <w:rsid w:val="008E301A"/>
    <w:rsid w:val="00901D51"/>
    <w:rsid w:val="009032F9"/>
    <w:rsid w:val="00941217"/>
    <w:rsid w:val="00982536"/>
    <w:rsid w:val="009B1575"/>
    <w:rsid w:val="009E7F42"/>
    <w:rsid w:val="009F036D"/>
    <w:rsid w:val="00A30BDC"/>
    <w:rsid w:val="00A51311"/>
    <w:rsid w:val="00A91B38"/>
    <w:rsid w:val="00AB6A13"/>
    <w:rsid w:val="00AC3F8C"/>
    <w:rsid w:val="00B0188E"/>
    <w:rsid w:val="00B03394"/>
    <w:rsid w:val="00B20333"/>
    <w:rsid w:val="00B215E1"/>
    <w:rsid w:val="00B930FC"/>
    <w:rsid w:val="00B95744"/>
    <w:rsid w:val="00BB2332"/>
    <w:rsid w:val="00BF6FC8"/>
    <w:rsid w:val="00BF744E"/>
    <w:rsid w:val="00C31270"/>
    <w:rsid w:val="00C60590"/>
    <w:rsid w:val="00CA5B99"/>
    <w:rsid w:val="00D14346"/>
    <w:rsid w:val="00D2759D"/>
    <w:rsid w:val="00D4281E"/>
    <w:rsid w:val="00D50970"/>
    <w:rsid w:val="00D546F8"/>
    <w:rsid w:val="00D571AC"/>
    <w:rsid w:val="00D67691"/>
    <w:rsid w:val="00D76440"/>
    <w:rsid w:val="00D83AD8"/>
    <w:rsid w:val="00D9284C"/>
    <w:rsid w:val="00DA2886"/>
    <w:rsid w:val="00DD3D4E"/>
    <w:rsid w:val="00DD5018"/>
    <w:rsid w:val="00DF050E"/>
    <w:rsid w:val="00DF5F80"/>
    <w:rsid w:val="00E02C48"/>
    <w:rsid w:val="00E23B90"/>
    <w:rsid w:val="00E41208"/>
    <w:rsid w:val="00E5531A"/>
    <w:rsid w:val="00E55AA5"/>
    <w:rsid w:val="00E75006"/>
    <w:rsid w:val="00E8025D"/>
    <w:rsid w:val="00E9659B"/>
    <w:rsid w:val="00EA37F5"/>
    <w:rsid w:val="00EA5720"/>
    <w:rsid w:val="00EE1D26"/>
    <w:rsid w:val="00F00A71"/>
    <w:rsid w:val="00F63C73"/>
    <w:rsid w:val="00FC3E8E"/>
    <w:rsid w:val="00FF3C4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127092281">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12486676">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38988845">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22288249">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74539645">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537500633">
      <w:bodyDiv w:val="1"/>
      <w:marLeft w:val="0"/>
      <w:marRight w:val="0"/>
      <w:marTop w:val="0"/>
      <w:marBottom w:val="0"/>
      <w:divBdr>
        <w:top w:val="none" w:sz="0" w:space="0" w:color="auto"/>
        <w:left w:val="none" w:sz="0" w:space="0" w:color="auto"/>
        <w:bottom w:val="none" w:sz="0" w:space="0" w:color="auto"/>
        <w:right w:val="none" w:sz="0" w:space="0" w:color="auto"/>
      </w:divBdr>
    </w:div>
    <w:div w:id="1632593790">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720007698">
      <w:bodyDiv w:val="1"/>
      <w:marLeft w:val="0"/>
      <w:marRight w:val="0"/>
      <w:marTop w:val="0"/>
      <w:marBottom w:val="0"/>
      <w:divBdr>
        <w:top w:val="none" w:sz="0" w:space="0" w:color="auto"/>
        <w:left w:val="none" w:sz="0" w:space="0" w:color="auto"/>
        <w:bottom w:val="none" w:sz="0" w:space="0" w:color="auto"/>
        <w:right w:val="none" w:sz="0" w:space="0" w:color="auto"/>
      </w:divBdr>
    </w:div>
    <w:div w:id="1729912338">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1980988174">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By1knaEM5Ohf/m4DJ9UMZhynkj4=</DigestValue>
    </Reference>
    <Reference URI="#idOfficeObject" Type="http://www.w3.org/2000/09/xmldsig#Object">
      <DigestMethod Algorithm="http://www.w3.org/2000/09/xmldsig#sha1"/>
      <DigestValue>mhU9Yfq5swU7DjhzORVeNtE2f74=</DigestValue>
    </Reference>
    <Reference URI="#idSignedProperties" Type="http://uri.etsi.org/01903#SignedProperties">
      <Transforms>
        <Transform Algorithm="http://www.w3.org/TR/2001/REC-xml-c14n-20010315"/>
      </Transforms>
      <DigestMethod Algorithm="http://www.w3.org/2000/09/xmldsig#sha1"/>
      <DigestValue>xzUc5DEDZth0IoG4r68b3vnmD6c=</DigestValue>
    </Reference>
  </SignedInfo>
  <SignatureValue>1eguZWhLgsAF2jKXOZwm9xoerBVP3C0sWnDqYTvsrs0j+TpNORLFG7lEDUhY86wcYMoWEm4oY97P
XWUO7K9422KYOnjnqKMbfO/mEOWRnnFUWALnJIajQg9xpjkw4k0tT3WyvaA5EGwbTd6Cd/ie1Kpi
ePiDvXQugS//JrmBmio=</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StKwAp1XDC1yC9S5cXDh8b7SV40=
</DigestValue>
      </Reference>
      <Reference URI="/word/media/image1.JPG?ContentType=image/jpeg">
        <DigestMethod Algorithm="http://www.w3.org/2000/09/xmldsig#sha1"/>
        <DigestValue>R0bvChL5/qsRUkJOrZI6ANm6sx8=
</DigestValue>
      </Reference>
      <Reference URI="/word/settings.xml?ContentType=application/vnd.openxmlformats-officedocument.wordprocessingml.settings+xml">
        <DigestMethod Algorithm="http://www.w3.org/2000/09/xmldsig#sha1"/>
        <DigestValue>Zg3xSfTmcUkxp5qOW+dVD2TQ3og=
</DigestValue>
      </Reference>
      <Reference URI="/word/styles.xml?ContentType=application/vnd.openxmlformats-officedocument.wordprocessingml.styles+xml">
        <DigestMethod Algorithm="http://www.w3.org/2000/09/xmldsig#sha1"/>
        <DigestValue>71JOkz8Ofa6+P9k363XH03U6O9g=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667iCAs6w7w9FWGfwkyTC+yHxfY=
</DigestValue>
      </Reference>
      <Reference URI="/word/theme/theme1.xml?ContentType=application/vnd.openxmlformats-officedocument.theme+xml">
        <DigestMethod Algorithm="http://www.w3.org/2000/09/xmldsig#sha1"/>
        <DigestValue>A7mMCM/bIq8J08Isx4WI1dNx25c=
</DigestValue>
      </Reference>
      <Reference URI="/word/media/image2.jpg?ContentType=image/jpeg">
        <DigestMethod Algorithm="http://www.w3.org/2000/09/xmldsig#sha1"/>
        <DigestValue>ddA0RlPGJnehFU8jg7yysrkvaWo=
</DigestValue>
      </Reference>
      <Reference URI="/word/footnotes.xml?ContentType=application/vnd.openxmlformats-officedocument.wordprocessingml.footnotes+xml">
        <DigestMethod Algorithm="http://www.w3.org/2000/09/xmldsig#sha1"/>
        <DigestValue>tveRfRAh/GnCPRIn8OUIBNvGf3w=
</DigestValue>
      </Reference>
      <Reference URI="/word/document.xml?ContentType=application/vnd.openxmlformats-officedocument.wordprocessingml.document.main+xml">
        <DigestMethod Algorithm="http://www.w3.org/2000/09/xmldsig#sha1"/>
        <DigestValue>hsVTt0lCOl4eM0zEjOE4g3jLv0c=
</DigestValue>
      </Reference>
      <Reference URI="/word/stylesWithEffects.xml?ContentType=application/vnd.ms-word.stylesWithEffects+xml">
        <DigestMethod Algorithm="http://www.w3.org/2000/09/xmldsig#sha1"/>
        <DigestValue>fUf6GaV3JrbOdlHvpTVllh75eOM=
</DigestValue>
      </Reference>
      <Reference URI="/word/header1.xml?ContentType=application/vnd.openxmlformats-officedocument.wordprocessingml.header+xml">
        <DigestMethod Algorithm="http://www.w3.org/2000/09/xmldsig#sha1"/>
        <DigestValue>jBAHrcpVYXL3xJejWnye/7eXdS4=
</DigestValue>
      </Reference>
      <Reference URI="/word/footer1.xml?ContentType=application/vnd.openxmlformats-officedocument.wordprocessingml.footer+xml">
        <DigestMethod Algorithm="http://www.w3.org/2000/09/xmldsig#sha1"/>
        <DigestValue>yPsY0fx/UqHbrFykJ5WhTEcAlkg=
</DigestValue>
      </Reference>
      <Reference URI="/word/endnotes.xml?ContentType=application/vnd.openxmlformats-officedocument.wordprocessingml.endnotes+xml">
        <DigestMethod Algorithm="http://www.w3.org/2000/09/xmldsig#sha1"/>
        <DigestValue>AZy8J5myYUJxl6Sv/LbfdqNfmg8=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Lq2J2eOa1cKfk9yzUBPSmo/4DCw=
</DigestValue>
      </Reference>
    </Manifest>
    <SignatureProperties>
      <SignatureProperty Id="idSignatureTime" Target="#idPackageSignature">
        <mdssi:SignatureTime>
          <mdssi:Format>YYYY-MM-DDThh:mm:ssTZD</mdssi:Format>
          <mdssi:Value>2014-01-20T07:38:34Z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2014-01-20T07:38:34Z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57E8-DF26-4649-BF22-BB2BD689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6933</Words>
  <Characters>39523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5</cp:revision>
  <cp:lastPrinted>2014-01-20T03:24:00Z</cp:lastPrinted>
  <dcterms:created xsi:type="dcterms:W3CDTF">2014-01-20T02:45:00Z</dcterms:created>
  <dcterms:modified xsi:type="dcterms:W3CDTF">2014-01-20T03:53:00Z</dcterms:modified>
</cp:coreProperties>
</file>